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4D" w:rsidRPr="00102857" w:rsidRDefault="00D72B4D" w:rsidP="00911C23">
      <w:pPr>
        <w:tabs>
          <w:tab w:val="left" w:pos="5954"/>
        </w:tabs>
        <w:ind w:firstLine="567"/>
        <w:rPr>
          <w:i/>
        </w:rPr>
      </w:pPr>
      <w:r>
        <w:rPr>
          <w:b/>
        </w:rPr>
        <w:tab/>
      </w:r>
      <w:r w:rsidRPr="00102857">
        <w:rPr>
          <w:i/>
        </w:rPr>
        <w:t xml:space="preserve"> </w:t>
      </w:r>
    </w:p>
    <w:p w:rsidR="00D72B4D" w:rsidRPr="00102857" w:rsidRDefault="00D72B4D" w:rsidP="00277E71">
      <w:pPr>
        <w:spacing w:after="120" w:line="360" w:lineRule="auto"/>
      </w:pPr>
    </w:p>
    <w:p w:rsidR="00911C23" w:rsidRDefault="00911C23" w:rsidP="00673D49">
      <w:pPr>
        <w:spacing w:after="120"/>
        <w:jc w:val="center"/>
        <w:rPr>
          <w:b/>
          <w:sz w:val="32"/>
        </w:rPr>
      </w:pPr>
    </w:p>
    <w:p w:rsidR="00D72B4D" w:rsidRPr="00513E93" w:rsidRDefault="00D72B4D" w:rsidP="00673D49">
      <w:pPr>
        <w:spacing w:after="120"/>
        <w:jc w:val="center"/>
        <w:rPr>
          <w:b/>
          <w:sz w:val="32"/>
        </w:rPr>
      </w:pPr>
      <w:r w:rsidRPr="00513E93">
        <w:rPr>
          <w:b/>
          <w:sz w:val="32"/>
        </w:rPr>
        <w:t>Informacja nt. płatności bezpośrednich w latach 2014-2020</w:t>
      </w:r>
    </w:p>
    <w:p w:rsidR="00473C5D" w:rsidRPr="00513E93" w:rsidRDefault="00D72B4D" w:rsidP="00473C5D">
      <w:pPr>
        <w:spacing w:after="120" w:line="360" w:lineRule="auto"/>
        <w:jc w:val="center"/>
        <w:rPr>
          <w:sz w:val="32"/>
        </w:rPr>
      </w:pPr>
      <w:r w:rsidRPr="00513E93">
        <w:rPr>
          <w:b/>
          <w:sz w:val="32"/>
        </w:rPr>
        <w:t>oraz z</w:t>
      </w:r>
      <w:r w:rsidR="00513E93">
        <w:rPr>
          <w:b/>
          <w:sz w:val="32"/>
        </w:rPr>
        <w:t>miany przepisów w p</w:t>
      </w:r>
      <w:r w:rsidRPr="00513E93">
        <w:rPr>
          <w:b/>
          <w:sz w:val="32"/>
        </w:rPr>
        <w:t>rogramie rolnośrodowiskowym w 2014 r.</w:t>
      </w:r>
    </w:p>
    <w:p w:rsidR="00473C5D" w:rsidRPr="00513E93" w:rsidRDefault="00473C5D" w:rsidP="00473C5D">
      <w:pPr>
        <w:spacing w:after="120" w:line="360" w:lineRule="auto"/>
        <w:jc w:val="center"/>
        <w:rPr>
          <w:sz w:val="32"/>
        </w:rPr>
      </w:pPr>
    </w:p>
    <w:p w:rsidR="000E002F" w:rsidRPr="00513E93" w:rsidRDefault="00D72B4D" w:rsidP="00B12332">
      <w:pPr>
        <w:spacing w:after="120" w:line="360" w:lineRule="auto"/>
        <w:jc w:val="both"/>
        <w:rPr>
          <w:sz w:val="28"/>
        </w:rPr>
      </w:pPr>
      <w:r w:rsidRPr="00513E93">
        <w:rPr>
          <w:b/>
          <w:sz w:val="28"/>
        </w:rPr>
        <w:t>I.</w:t>
      </w:r>
      <w:r w:rsidR="000E002F" w:rsidRPr="00513E93">
        <w:rPr>
          <w:b/>
          <w:sz w:val="28"/>
        </w:rPr>
        <w:t xml:space="preserve"> Płatności bezpośrednie w</w:t>
      </w:r>
      <w:r w:rsidRPr="00513E93">
        <w:rPr>
          <w:b/>
          <w:sz w:val="28"/>
        </w:rPr>
        <w:t xml:space="preserve"> 2014 r.</w:t>
      </w:r>
    </w:p>
    <w:p w:rsidR="00D72B4D" w:rsidRDefault="000E002F" w:rsidP="00B12332">
      <w:pPr>
        <w:spacing w:after="120" w:line="360" w:lineRule="auto"/>
        <w:jc w:val="both"/>
      </w:pPr>
      <w:r>
        <w:t>Z</w:t>
      </w:r>
      <w:r w:rsidR="00D72B4D">
        <w:t xml:space="preserve">godnie z procedowanym obecnie projektem ustawy </w:t>
      </w:r>
      <w:r w:rsidR="00D72B4D" w:rsidRPr="00456B8A">
        <w:rPr>
          <w:i/>
        </w:rPr>
        <w:t>o zmianie ustawy o płatnościach w ramach systemów wsparcia bezpośredniego</w:t>
      </w:r>
      <w:r w:rsidR="00D72B4D">
        <w:t xml:space="preserve">, dostosowującym przepisy krajowe do rozwiązań przejściowych określonych w rozporządzeniu </w:t>
      </w:r>
      <w:r w:rsidR="00D72B4D" w:rsidRPr="00E521AF">
        <w:t>nr 1310/2013</w:t>
      </w:r>
      <w:r w:rsidR="00D72B4D">
        <w:rPr>
          <w:rStyle w:val="Odwoanieprzypisudolnego"/>
        </w:rPr>
        <w:footnoteReference w:id="1"/>
      </w:r>
      <w:r w:rsidR="00D72B4D">
        <w:t xml:space="preserve">, </w:t>
      </w:r>
      <w:r w:rsidR="00637EA4">
        <w:t xml:space="preserve">w kampanii 2014 roku </w:t>
      </w:r>
      <w:r w:rsidR="00D72B4D">
        <w:t>stosowane będą następujące rodzaje płatności:</w:t>
      </w:r>
    </w:p>
    <w:p w:rsidR="00D72B4D" w:rsidRDefault="00D72B4D" w:rsidP="00B12332">
      <w:pPr>
        <w:pStyle w:val="Akapitzlist"/>
        <w:numPr>
          <w:ilvl w:val="0"/>
          <w:numId w:val="13"/>
        </w:numPr>
        <w:spacing w:before="0" w:after="120" w:line="360" w:lineRule="auto"/>
        <w:ind w:left="426" w:hanging="284"/>
      </w:pPr>
      <w:r w:rsidRPr="00D17268">
        <w:rPr>
          <w:b/>
        </w:rPr>
        <w:t>jednolita płatność obszarowa</w:t>
      </w:r>
      <w:r>
        <w:t>,</w:t>
      </w:r>
    </w:p>
    <w:p w:rsidR="00D72B4D" w:rsidRDefault="00D72B4D" w:rsidP="00B12332">
      <w:pPr>
        <w:pStyle w:val="Akapitzlist"/>
        <w:numPr>
          <w:ilvl w:val="0"/>
          <w:numId w:val="13"/>
        </w:numPr>
        <w:spacing w:before="0" w:after="120" w:line="360" w:lineRule="auto"/>
        <w:ind w:left="426" w:hanging="284"/>
      </w:pPr>
      <w:r w:rsidRPr="00D17268">
        <w:rPr>
          <w:b/>
        </w:rPr>
        <w:t>płatności oddzielne</w:t>
      </w:r>
      <w:r>
        <w:t>: do pomidorów, do owoców miękkich, do cukru,</w:t>
      </w:r>
    </w:p>
    <w:p w:rsidR="00D72B4D" w:rsidRDefault="00D72B4D" w:rsidP="00B12332">
      <w:pPr>
        <w:pStyle w:val="Akapitzlist"/>
        <w:numPr>
          <w:ilvl w:val="0"/>
          <w:numId w:val="13"/>
        </w:numPr>
        <w:spacing w:before="0" w:after="120" w:line="360" w:lineRule="auto"/>
        <w:ind w:left="426" w:hanging="284"/>
      </w:pPr>
      <w:r w:rsidRPr="00D17268">
        <w:rPr>
          <w:b/>
        </w:rPr>
        <w:t>wsparcie specjalne</w:t>
      </w:r>
      <w:r>
        <w:t xml:space="preserve">: do krów, do owiec, do powierzchni upraw roślin strączkowych </w:t>
      </w:r>
      <w:r>
        <w:br/>
        <w:t>i motylkowatych drobnonasiennych, do surowca tytoniowego wysokiej jakości,</w:t>
      </w:r>
    </w:p>
    <w:p w:rsidR="00D72B4D" w:rsidRDefault="00D72B4D" w:rsidP="00B12332">
      <w:pPr>
        <w:pStyle w:val="Akapitzlist"/>
        <w:numPr>
          <w:ilvl w:val="0"/>
          <w:numId w:val="13"/>
        </w:numPr>
        <w:spacing w:before="0" w:after="120" w:line="360" w:lineRule="auto"/>
        <w:ind w:left="426" w:hanging="284"/>
      </w:pPr>
      <w:r w:rsidRPr="00D17268">
        <w:rPr>
          <w:b/>
        </w:rPr>
        <w:t>przejściowe wsparcie krajowe</w:t>
      </w:r>
      <w:r>
        <w:t>: płatność niezwiązana do chmielu, płatność niezwiązana do skrobi ziemniaczanej, płatność niezwiązana do tytoniu.</w:t>
      </w:r>
    </w:p>
    <w:p w:rsidR="00D72B4D" w:rsidRDefault="00D72B4D" w:rsidP="00B12332">
      <w:pPr>
        <w:spacing w:after="120" w:line="360" w:lineRule="auto"/>
        <w:jc w:val="both"/>
        <w:rPr>
          <w:bCs/>
        </w:rPr>
      </w:pPr>
      <w:r>
        <w:t xml:space="preserve">Oznacza to, że za 2014 r. wypłacane będą wszystkie rodzaje płatności, które są realizowane </w:t>
      </w:r>
      <w:r>
        <w:br/>
        <w:t xml:space="preserve">w odniesieniu do </w:t>
      </w:r>
      <w:r w:rsidR="00637EA4">
        <w:t xml:space="preserve">kampanii </w:t>
      </w:r>
      <w:r>
        <w:t xml:space="preserve">roku 2013, </w:t>
      </w:r>
      <w:r w:rsidRPr="00637EA4">
        <w:t xml:space="preserve">z wyjątkiem uzupełniającej płatności podstawowej </w:t>
      </w:r>
      <w:r w:rsidR="00637EA4" w:rsidRPr="00637EA4">
        <w:br/>
      </w:r>
      <w:r w:rsidRPr="00637EA4">
        <w:t>(</w:t>
      </w:r>
      <w:r w:rsidR="00637EA4" w:rsidRPr="00637EA4">
        <w:t xml:space="preserve">tzw. </w:t>
      </w:r>
      <w:r w:rsidRPr="00637EA4">
        <w:t xml:space="preserve">sektor I) oraz </w:t>
      </w:r>
      <w:r w:rsidR="00637EA4">
        <w:t>płatności</w:t>
      </w:r>
      <w:r w:rsidR="00637EA4" w:rsidRPr="00637EA4">
        <w:t xml:space="preserve"> do powierzchni roślin przeznaczonych na paszę, uprawianych na trwałych użytkac</w:t>
      </w:r>
      <w:r w:rsidR="00637EA4">
        <w:t xml:space="preserve">h zielonych (tzw. płatność zwierzęca). </w:t>
      </w:r>
      <w:r>
        <w:rPr>
          <w:bCs/>
        </w:rPr>
        <w:t xml:space="preserve">Należy podkreślić, że w odniesieniu do płatności za </w:t>
      </w:r>
      <w:r w:rsidR="00637EA4">
        <w:rPr>
          <w:bCs/>
        </w:rPr>
        <w:t xml:space="preserve">kampanie </w:t>
      </w:r>
      <w:r>
        <w:rPr>
          <w:bCs/>
        </w:rPr>
        <w:t xml:space="preserve">2014 r. nie będą stosowane zmniejszenia płatności bezpośrednich (modulacja płatności unijnych i mechanizm redukcji płatności krajowych), które spowodowały obniżenie płatności za 2013 r. o ok. 112 mln euro. </w:t>
      </w:r>
    </w:p>
    <w:p w:rsidR="00215DC7" w:rsidRDefault="00215DC7" w:rsidP="005E234A">
      <w:pPr>
        <w:spacing w:after="120" w:line="276" w:lineRule="auto"/>
        <w:jc w:val="both"/>
        <w:rPr>
          <w:b/>
        </w:rPr>
      </w:pPr>
    </w:p>
    <w:p w:rsidR="00911C23" w:rsidRDefault="00911C23" w:rsidP="005E234A">
      <w:pPr>
        <w:spacing w:after="120" w:line="276" w:lineRule="auto"/>
        <w:jc w:val="both"/>
        <w:rPr>
          <w:b/>
        </w:rPr>
      </w:pPr>
    </w:p>
    <w:p w:rsidR="0094790D" w:rsidRDefault="0094790D" w:rsidP="005E234A">
      <w:pPr>
        <w:spacing w:after="120" w:line="276" w:lineRule="auto"/>
        <w:jc w:val="both"/>
        <w:rPr>
          <w:b/>
        </w:rPr>
      </w:pPr>
    </w:p>
    <w:p w:rsidR="00D72B4D" w:rsidRDefault="00D72B4D" w:rsidP="005E234A">
      <w:pPr>
        <w:spacing w:after="120" w:line="276" w:lineRule="auto"/>
        <w:jc w:val="both"/>
      </w:pPr>
      <w:r w:rsidRPr="005E234A">
        <w:rPr>
          <w:b/>
        </w:rPr>
        <w:lastRenderedPageBreak/>
        <w:t>Tabela 1.</w:t>
      </w:r>
      <w:r>
        <w:t xml:space="preserve"> Maksymalne koperty na poszczególne rodzaje płatności w roku 2014 (mln euro)</w:t>
      </w:r>
    </w:p>
    <w:tbl>
      <w:tblPr>
        <w:tblW w:w="4916" w:type="pct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98"/>
        <w:gridCol w:w="6890"/>
        <w:gridCol w:w="1604"/>
      </w:tblGrid>
      <w:tr w:rsidR="00D72B4D" w:rsidRPr="0009773F" w:rsidTr="00854ACB">
        <w:trPr>
          <w:trHeight w:val="418"/>
          <w:jc w:val="center"/>
        </w:trPr>
        <w:tc>
          <w:tcPr>
            <w:tcW w:w="414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4F81BD"/>
            <w:noWrap/>
            <w:vAlign w:val="center"/>
          </w:tcPr>
          <w:p w:rsidR="00D72B4D" w:rsidRPr="0009773F" w:rsidRDefault="00D72B4D" w:rsidP="0016352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773F">
              <w:rPr>
                <w:b/>
                <w:bCs/>
                <w:color w:val="FFFFFF"/>
                <w:sz w:val="20"/>
                <w:szCs w:val="20"/>
              </w:rPr>
              <w:t>KAMPANIA</w:t>
            </w:r>
          </w:p>
        </w:tc>
        <w:tc>
          <w:tcPr>
            <w:tcW w:w="85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4F81BD"/>
            <w:noWrap/>
            <w:vAlign w:val="center"/>
          </w:tcPr>
          <w:p w:rsidR="00D72B4D" w:rsidRPr="0009773F" w:rsidRDefault="00D72B4D" w:rsidP="0016352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773F">
              <w:rPr>
                <w:b/>
                <w:bCs/>
                <w:color w:val="FFFFFF"/>
                <w:sz w:val="20"/>
                <w:szCs w:val="20"/>
              </w:rPr>
              <w:t>2014</w:t>
            </w:r>
          </w:p>
        </w:tc>
      </w:tr>
      <w:tr w:rsidR="00215DC7" w:rsidRPr="0009773F" w:rsidTr="00854ACB">
        <w:trPr>
          <w:trHeight w:val="378"/>
          <w:jc w:val="center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D72B4D" w:rsidRPr="0009773F" w:rsidRDefault="00D72B4D" w:rsidP="00163521">
            <w:pPr>
              <w:jc w:val="center"/>
              <w:rPr>
                <w:b/>
                <w:bCs/>
                <w:sz w:val="20"/>
                <w:szCs w:val="20"/>
              </w:rPr>
            </w:pPr>
            <w:r w:rsidRPr="0009773F">
              <w:rPr>
                <w:b/>
                <w:bCs/>
                <w:sz w:val="20"/>
                <w:szCs w:val="20"/>
              </w:rPr>
              <w:t>PŁATNOŚCI UNIJNE</w:t>
            </w:r>
          </w:p>
        </w:tc>
        <w:tc>
          <w:tcPr>
            <w:tcW w:w="366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B4D" w:rsidRPr="00854ACB" w:rsidRDefault="00D72B4D" w:rsidP="00163521">
            <w:r w:rsidRPr="00854ACB">
              <w:t>jednolita płatność obszarowa</w:t>
            </w:r>
          </w:p>
        </w:tc>
        <w:tc>
          <w:tcPr>
            <w:tcW w:w="85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72B4D" w:rsidRPr="00854ACB" w:rsidRDefault="00D72B4D" w:rsidP="00854ACB">
            <w:pPr>
              <w:jc w:val="right"/>
            </w:pPr>
            <w:r w:rsidRPr="00854ACB">
              <w:t>3 078,18</w:t>
            </w:r>
          </w:p>
        </w:tc>
      </w:tr>
      <w:tr w:rsidR="00215DC7" w:rsidRPr="0009773F" w:rsidTr="00854ACB">
        <w:trPr>
          <w:trHeight w:val="378"/>
          <w:jc w:val="center"/>
        </w:trPr>
        <w:tc>
          <w:tcPr>
            <w:tcW w:w="478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2B4D" w:rsidRPr="0009773F" w:rsidRDefault="00D72B4D" w:rsidP="001635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B4D" w:rsidRPr="00854ACB" w:rsidRDefault="00D72B4D" w:rsidP="00163521">
            <w:r w:rsidRPr="00854ACB">
              <w:t>płatność do pomidorów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72B4D" w:rsidRPr="00854ACB" w:rsidRDefault="00D72B4D" w:rsidP="00854ACB">
            <w:pPr>
              <w:jc w:val="right"/>
            </w:pPr>
            <w:r w:rsidRPr="00854ACB">
              <w:t>6,72</w:t>
            </w:r>
          </w:p>
        </w:tc>
      </w:tr>
      <w:tr w:rsidR="00215DC7" w:rsidRPr="0009773F" w:rsidTr="00854ACB">
        <w:trPr>
          <w:trHeight w:val="378"/>
          <w:jc w:val="center"/>
        </w:trPr>
        <w:tc>
          <w:tcPr>
            <w:tcW w:w="478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2B4D" w:rsidRPr="0009773F" w:rsidRDefault="00D72B4D" w:rsidP="001635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B4D" w:rsidRPr="00854ACB" w:rsidRDefault="00D72B4D" w:rsidP="00163521">
            <w:r w:rsidRPr="00854ACB">
              <w:t>płatność do owoców miękkich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72B4D" w:rsidRPr="00854ACB" w:rsidRDefault="00D72B4D" w:rsidP="00854ACB">
            <w:pPr>
              <w:jc w:val="right"/>
            </w:pPr>
            <w:r w:rsidRPr="00854ACB">
              <w:t>11,04</w:t>
            </w:r>
          </w:p>
        </w:tc>
      </w:tr>
      <w:tr w:rsidR="00215DC7" w:rsidRPr="0009773F" w:rsidTr="00854ACB">
        <w:trPr>
          <w:trHeight w:val="378"/>
          <w:jc w:val="center"/>
        </w:trPr>
        <w:tc>
          <w:tcPr>
            <w:tcW w:w="478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2B4D" w:rsidRPr="0009773F" w:rsidRDefault="00D72B4D" w:rsidP="001635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B4D" w:rsidRPr="00854ACB" w:rsidRDefault="00D72B4D" w:rsidP="00163521">
            <w:r w:rsidRPr="00854ACB">
              <w:t>płatność cukrowa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72B4D" w:rsidRPr="00854ACB" w:rsidRDefault="00D72B4D" w:rsidP="00854ACB">
            <w:pPr>
              <w:jc w:val="right"/>
            </w:pPr>
            <w:r w:rsidRPr="00854ACB">
              <w:t>159,39</w:t>
            </w:r>
          </w:p>
        </w:tc>
      </w:tr>
      <w:tr w:rsidR="00215DC7" w:rsidRPr="0009773F" w:rsidTr="00854ACB">
        <w:trPr>
          <w:trHeight w:val="378"/>
          <w:jc w:val="center"/>
        </w:trPr>
        <w:tc>
          <w:tcPr>
            <w:tcW w:w="478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2B4D" w:rsidRPr="0009773F" w:rsidRDefault="00D72B4D" w:rsidP="001635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B4D" w:rsidRPr="00854ACB" w:rsidRDefault="00D72B4D" w:rsidP="00163521">
            <w:r w:rsidRPr="00854ACB">
              <w:t>płatność do krów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72B4D" w:rsidRPr="00854ACB" w:rsidRDefault="00D72B4D" w:rsidP="00854ACB">
            <w:pPr>
              <w:jc w:val="right"/>
            </w:pPr>
            <w:r w:rsidRPr="00854ACB">
              <w:t>45,60</w:t>
            </w:r>
          </w:p>
        </w:tc>
      </w:tr>
      <w:tr w:rsidR="00215DC7" w:rsidRPr="0009773F" w:rsidTr="00854ACB">
        <w:trPr>
          <w:trHeight w:val="378"/>
          <w:jc w:val="center"/>
        </w:trPr>
        <w:tc>
          <w:tcPr>
            <w:tcW w:w="478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2B4D" w:rsidRPr="0009773F" w:rsidRDefault="00D72B4D" w:rsidP="001635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B4D" w:rsidRPr="00854ACB" w:rsidRDefault="00D72B4D" w:rsidP="00163521">
            <w:r w:rsidRPr="00854ACB">
              <w:t>płatność do owiec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72B4D" w:rsidRPr="00854ACB" w:rsidRDefault="00D72B4D" w:rsidP="00854ACB">
            <w:pPr>
              <w:jc w:val="right"/>
            </w:pPr>
            <w:r w:rsidRPr="00854ACB">
              <w:t>1,92</w:t>
            </w:r>
          </w:p>
        </w:tc>
      </w:tr>
      <w:tr w:rsidR="00215DC7" w:rsidRPr="0009773F" w:rsidTr="00854ACB">
        <w:trPr>
          <w:trHeight w:val="547"/>
          <w:jc w:val="center"/>
        </w:trPr>
        <w:tc>
          <w:tcPr>
            <w:tcW w:w="478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2B4D" w:rsidRPr="0009773F" w:rsidRDefault="00D72B4D" w:rsidP="001635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B4D" w:rsidRPr="00854ACB" w:rsidRDefault="00D72B4D" w:rsidP="00163521">
            <w:r w:rsidRPr="00854ACB">
              <w:t>specjalna płatność obszarowa do powierzchni upraw roślin strączkowych i motylkowatych drobnonasiennych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72B4D" w:rsidRPr="00854ACB" w:rsidRDefault="00D72B4D" w:rsidP="00854ACB">
            <w:pPr>
              <w:jc w:val="right"/>
            </w:pPr>
            <w:r w:rsidRPr="00854ACB">
              <w:t>30,00</w:t>
            </w:r>
          </w:p>
        </w:tc>
      </w:tr>
      <w:tr w:rsidR="00215DC7" w:rsidRPr="0009773F" w:rsidTr="00854ACB">
        <w:trPr>
          <w:trHeight w:val="382"/>
          <w:jc w:val="center"/>
        </w:trPr>
        <w:tc>
          <w:tcPr>
            <w:tcW w:w="478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2B4D" w:rsidRPr="0009773F" w:rsidRDefault="00D72B4D" w:rsidP="001635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B4D" w:rsidRPr="00854ACB" w:rsidRDefault="00D72B4D" w:rsidP="00163521">
            <w:r w:rsidRPr="00854ACB">
              <w:t>płatność do surowca tytoniowego wysokiej jakości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72B4D" w:rsidRPr="00854ACB" w:rsidRDefault="00D72B4D" w:rsidP="00854ACB">
            <w:pPr>
              <w:jc w:val="right"/>
            </w:pPr>
            <w:r w:rsidRPr="00854ACB">
              <w:t>29,04</w:t>
            </w:r>
          </w:p>
        </w:tc>
      </w:tr>
      <w:tr w:rsidR="00215DC7" w:rsidRPr="0009773F" w:rsidTr="00854ACB">
        <w:trPr>
          <w:trHeight w:val="378"/>
          <w:jc w:val="center"/>
        </w:trPr>
        <w:tc>
          <w:tcPr>
            <w:tcW w:w="47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2B4D" w:rsidRPr="0009773F" w:rsidRDefault="00D72B4D" w:rsidP="001635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72B4D" w:rsidRPr="00854ACB" w:rsidRDefault="00D72B4D" w:rsidP="00163521">
            <w:pPr>
              <w:rPr>
                <w:b/>
                <w:bCs/>
              </w:rPr>
            </w:pPr>
            <w:r w:rsidRPr="00854ACB">
              <w:rPr>
                <w:b/>
                <w:bCs/>
              </w:rPr>
              <w:t>RAZEM</w:t>
            </w:r>
          </w:p>
        </w:tc>
        <w:tc>
          <w:tcPr>
            <w:tcW w:w="85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72B4D" w:rsidRPr="00854ACB" w:rsidRDefault="00D72B4D" w:rsidP="00FE0E7A">
            <w:pPr>
              <w:jc w:val="right"/>
              <w:rPr>
                <w:b/>
                <w:bCs/>
              </w:rPr>
            </w:pPr>
            <w:r w:rsidRPr="00854ACB">
              <w:rPr>
                <w:b/>
                <w:bCs/>
              </w:rPr>
              <w:t>3 361,8</w:t>
            </w:r>
            <w:r w:rsidR="00FE0E7A">
              <w:rPr>
                <w:b/>
                <w:bCs/>
              </w:rPr>
              <w:t>9</w:t>
            </w:r>
          </w:p>
        </w:tc>
      </w:tr>
      <w:tr w:rsidR="00215DC7" w:rsidRPr="0009773F" w:rsidTr="00854ACB">
        <w:trPr>
          <w:trHeight w:val="445"/>
          <w:jc w:val="center"/>
        </w:trPr>
        <w:tc>
          <w:tcPr>
            <w:tcW w:w="47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</w:tcPr>
          <w:p w:rsidR="00D72B4D" w:rsidRPr="0009773F" w:rsidRDefault="00D72B4D" w:rsidP="00A2436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9773F">
              <w:rPr>
                <w:b/>
                <w:bCs/>
                <w:sz w:val="20"/>
                <w:szCs w:val="20"/>
              </w:rPr>
              <w:t>PŁATNOŚCI KRAJOWE</w:t>
            </w:r>
          </w:p>
        </w:tc>
        <w:tc>
          <w:tcPr>
            <w:tcW w:w="3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72B4D" w:rsidRPr="00854ACB" w:rsidRDefault="00D72B4D" w:rsidP="00163521">
            <w:r w:rsidRPr="00854ACB">
              <w:t>płatność do chmielu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8CCE4"/>
            <w:noWrap/>
            <w:vAlign w:val="center"/>
          </w:tcPr>
          <w:p w:rsidR="00D72B4D" w:rsidRPr="00854ACB" w:rsidRDefault="00D72B4D" w:rsidP="00854ACB">
            <w:pPr>
              <w:jc w:val="right"/>
              <w:rPr>
                <w:color w:val="000000"/>
              </w:rPr>
            </w:pPr>
            <w:r w:rsidRPr="00854ACB">
              <w:rPr>
                <w:color w:val="000000"/>
              </w:rPr>
              <w:t>0,50</w:t>
            </w:r>
          </w:p>
        </w:tc>
      </w:tr>
      <w:tr w:rsidR="00215DC7" w:rsidRPr="0009773F" w:rsidTr="00854ACB">
        <w:trPr>
          <w:trHeight w:val="445"/>
          <w:jc w:val="center"/>
        </w:trPr>
        <w:tc>
          <w:tcPr>
            <w:tcW w:w="47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72B4D" w:rsidRPr="0009773F" w:rsidRDefault="00D72B4D" w:rsidP="001635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72B4D" w:rsidRPr="00854ACB" w:rsidRDefault="00D72B4D" w:rsidP="00163521">
            <w:r w:rsidRPr="00854ACB">
              <w:t>płatność do skrobi ziemniaczanej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8CCE4"/>
            <w:noWrap/>
            <w:vAlign w:val="center"/>
          </w:tcPr>
          <w:p w:rsidR="00D72B4D" w:rsidRPr="00854ACB" w:rsidRDefault="00D72B4D" w:rsidP="00854ACB">
            <w:pPr>
              <w:jc w:val="right"/>
              <w:rPr>
                <w:color w:val="000000"/>
              </w:rPr>
            </w:pPr>
            <w:r w:rsidRPr="00854ACB">
              <w:rPr>
                <w:color w:val="000000"/>
              </w:rPr>
              <w:t>8,64</w:t>
            </w:r>
          </w:p>
        </w:tc>
      </w:tr>
      <w:tr w:rsidR="00215DC7" w:rsidRPr="0009773F" w:rsidTr="00854ACB">
        <w:trPr>
          <w:trHeight w:val="445"/>
          <w:jc w:val="center"/>
        </w:trPr>
        <w:tc>
          <w:tcPr>
            <w:tcW w:w="47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72B4D" w:rsidRPr="0009773F" w:rsidRDefault="00D72B4D" w:rsidP="001635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72B4D" w:rsidRPr="00854ACB" w:rsidRDefault="00D72B4D" w:rsidP="00163521">
            <w:r w:rsidRPr="00854ACB">
              <w:t>płatność do tytoniu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8CCE4"/>
            <w:noWrap/>
            <w:vAlign w:val="center"/>
          </w:tcPr>
          <w:p w:rsidR="00D72B4D" w:rsidRPr="00854ACB" w:rsidRDefault="00D72B4D" w:rsidP="00854ACB">
            <w:pPr>
              <w:jc w:val="right"/>
              <w:rPr>
                <w:color w:val="000000"/>
              </w:rPr>
            </w:pPr>
            <w:r w:rsidRPr="00854ACB">
              <w:rPr>
                <w:color w:val="000000"/>
              </w:rPr>
              <w:t>38,50</w:t>
            </w:r>
          </w:p>
        </w:tc>
      </w:tr>
      <w:tr w:rsidR="00215DC7" w:rsidRPr="0009773F" w:rsidTr="00854ACB">
        <w:trPr>
          <w:trHeight w:val="445"/>
          <w:jc w:val="center"/>
        </w:trPr>
        <w:tc>
          <w:tcPr>
            <w:tcW w:w="47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72B4D" w:rsidRPr="0009773F" w:rsidRDefault="00D72B4D" w:rsidP="001635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72B4D" w:rsidRPr="00854ACB" w:rsidRDefault="00D72B4D" w:rsidP="00163521">
            <w:pPr>
              <w:rPr>
                <w:b/>
                <w:bCs/>
              </w:rPr>
            </w:pPr>
            <w:r w:rsidRPr="00854ACB">
              <w:rPr>
                <w:b/>
                <w:bCs/>
              </w:rPr>
              <w:t>RAZEM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</w:tcPr>
          <w:p w:rsidR="00D72B4D" w:rsidRPr="00854ACB" w:rsidRDefault="00D72B4D" w:rsidP="00854ACB">
            <w:pPr>
              <w:jc w:val="right"/>
              <w:rPr>
                <w:b/>
                <w:bCs/>
                <w:color w:val="000000"/>
              </w:rPr>
            </w:pPr>
            <w:r w:rsidRPr="00854ACB">
              <w:rPr>
                <w:b/>
                <w:bCs/>
                <w:color w:val="000000"/>
              </w:rPr>
              <w:t>47,64</w:t>
            </w:r>
          </w:p>
        </w:tc>
      </w:tr>
      <w:tr w:rsidR="00D72B4D" w:rsidRPr="0009773F" w:rsidTr="00854ACB">
        <w:trPr>
          <w:trHeight w:val="311"/>
          <w:jc w:val="center"/>
        </w:trPr>
        <w:tc>
          <w:tcPr>
            <w:tcW w:w="414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72B4D" w:rsidRPr="0009773F" w:rsidRDefault="00D72B4D" w:rsidP="00163521">
            <w:pPr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09773F">
              <w:rPr>
                <w:b/>
                <w:bCs/>
                <w:color w:val="000000"/>
                <w:sz w:val="20"/>
                <w:szCs w:val="20"/>
              </w:rPr>
              <w:t>RAZEM PŁATNOŚCI UNIJNE I KRAJOWE</w:t>
            </w:r>
          </w:p>
        </w:tc>
        <w:tc>
          <w:tcPr>
            <w:tcW w:w="85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72B4D" w:rsidRPr="00854ACB" w:rsidRDefault="00D72B4D" w:rsidP="00854ACB">
            <w:pPr>
              <w:jc w:val="right"/>
              <w:rPr>
                <w:b/>
                <w:bCs/>
                <w:color w:val="000000"/>
              </w:rPr>
            </w:pPr>
            <w:r w:rsidRPr="00854ACB">
              <w:rPr>
                <w:b/>
                <w:bCs/>
                <w:color w:val="000000"/>
              </w:rPr>
              <w:t>3 409,5</w:t>
            </w:r>
            <w:r w:rsidR="00FE0E7A">
              <w:rPr>
                <w:b/>
                <w:bCs/>
                <w:color w:val="000000"/>
              </w:rPr>
              <w:t>3</w:t>
            </w:r>
          </w:p>
        </w:tc>
      </w:tr>
      <w:tr w:rsidR="00D72B4D" w:rsidRPr="0009773F" w:rsidTr="00854ACB">
        <w:trPr>
          <w:trHeight w:val="311"/>
          <w:jc w:val="center"/>
        </w:trPr>
        <w:tc>
          <w:tcPr>
            <w:tcW w:w="414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72B4D" w:rsidRPr="0009773F" w:rsidRDefault="00D72B4D" w:rsidP="00163521">
            <w:pPr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09773F">
              <w:rPr>
                <w:b/>
                <w:bCs/>
                <w:color w:val="000000"/>
                <w:sz w:val="20"/>
                <w:szCs w:val="20"/>
              </w:rPr>
              <w:t>ŚREDNIE WSPARCIE [EURO/HA]</w:t>
            </w:r>
          </w:p>
          <w:p w:rsidR="00D72B4D" w:rsidRPr="0009773F" w:rsidRDefault="00D72B4D" w:rsidP="00215DC7">
            <w:pPr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09773F">
              <w:rPr>
                <w:b/>
                <w:bCs/>
                <w:color w:val="000000"/>
                <w:sz w:val="20"/>
                <w:szCs w:val="20"/>
              </w:rPr>
              <w:t>dla powierzchni 14 150</w:t>
            </w:r>
            <w:r w:rsidR="00215DC7" w:rsidRPr="0009773F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09773F">
              <w:rPr>
                <w:b/>
                <w:bCs/>
                <w:color w:val="000000"/>
                <w:sz w:val="20"/>
                <w:szCs w:val="20"/>
              </w:rPr>
              <w:t>577</w:t>
            </w:r>
            <w:r w:rsidR="00215DC7" w:rsidRPr="0009773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9773F">
              <w:rPr>
                <w:b/>
                <w:bCs/>
                <w:color w:val="000000"/>
                <w:sz w:val="20"/>
                <w:szCs w:val="20"/>
              </w:rPr>
              <w:t xml:space="preserve">ha </w:t>
            </w:r>
            <w:r w:rsidR="00215DC7" w:rsidRPr="0009773F">
              <w:rPr>
                <w:b/>
                <w:bCs/>
                <w:color w:val="000000"/>
                <w:sz w:val="20"/>
                <w:szCs w:val="20"/>
              </w:rPr>
              <w:t>(potencjalnie kwalifikująca się powierzchnia wg. KE)</w:t>
            </w:r>
          </w:p>
        </w:tc>
        <w:tc>
          <w:tcPr>
            <w:tcW w:w="85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72B4D" w:rsidRPr="00854ACB" w:rsidRDefault="00D72B4D" w:rsidP="00854ACB">
            <w:pPr>
              <w:jc w:val="right"/>
              <w:rPr>
                <w:b/>
                <w:bCs/>
                <w:color w:val="000000"/>
              </w:rPr>
            </w:pPr>
            <w:r w:rsidRPr="00854ACB">
              <w:rPr>
                <w:b/>
                <w:bCs/>
                <w:color w:val="000000"/>
              </w:rPr>
              <w:t>240,95</w:t>
            </w:r>
          </w:p>
        </w:tc>
      </w:tr>
    </w:tbl>
    <w:p w:rsidR="00215DC7" w:rsidRDefault="00215DC7" w:rsidP="005E234A">
      <w:pPr>
        <w:spacing w:after="120" w:line="276" w:lineRule="auto"/>
        <w:jc w:val="both"/>
        <w:rPr>
          <w:b/>
          <w:bCs/>
          <w:u w:val="single"/>
        </w:rPr>
      </w:pPr>
    </w:p>
    <w:p w:rsidR="000E002F" w:rsidRPr="00513E93" w:rsidRDefault="00D72B4D" w:rsidP="005E234A">
      <w:pPr>
        <w:spacing w:after="120" w:line="276" w:lineRule="auto"/>
        <w:jc w:val="both"/>
        <w:rPr>
          <w:sz w:val="28"/>
          <w:lang w:eastAsia="en-US"/>
        </w:rPr>
      </w:pPr>
      <w:r w:rsidRPr="00513E93">
        <w:rPr>
          <w:b/>
          <w:bCs/>
          <w:sz w:val="28"/>
        </w:rPr>
        <w:t xml:space="preserve">II. </w:t>
      </w:r>
      <w:r w:rsidR="000E002F" w:rsidRPr="00513E93">
        <w:rPr>
          <w:b/>
          <w:bCs/>
          <w:sz w:val="28"/>
        </w:rPr>
        <w:t>Płatności bezpośrednie w</w:t>
      </w:r>
      <w:r w:rsidRPr="00513E93">
        <w:rPr>
          <w:b/>
          <w:sz w:val="28"/>
          <w:lang w:eastAsia="en-US"/>
        </w:rPr>
        <w:t xml:space="preserve"> latach 2015-2020</w:t>
      </w:r>
      <w:r w:rsidRPr="00513E93">
        <w:rPr>
          <w:sz w:val="28"/>
          <w:lang w:eastAsia="en-US"/>
        </w:rPr>
        <w:t xml:space="preserve"> </w:t>
      </w:r>
    </w:p>
    <w:p w:rsidR="000E002F" w:rsidRDefault="000E002F" w:rsidP="005E234A">
      <w:pPr>
        <w:spacing w:after="120" w:line="276" w:lineRule="auto"/>
        <w:jc w:val="both"/>
        <w:rPr>
          <w:lang w:eastAsia="en-US"/>
        </w:rPr>
      </w:pPr>
      <w:r>
        <w:rPr>
          <w:lang w:eastAsia="en-US"/>
        </w:rPr>
        <w:t xml:space="preserve">W latach 2015-2020 </w:t>
      </w:r>
      <w:r w:rsidR="00D72B4D">
        <w:rPr>
          <w:lang w:eastAsia="en-US"/>
        </w:rPr>
        <w:t xml:space="preserve">w Polsce nadal stosowany będzie system jednolitej płatności obszarowej (ang. SAPS). Jednocześnie </w:t>
      </w:r>
      <w:r w:rsidR="0009773F">
        <w:rPr>
          <w:lang w:eastAsia="en-US"/>
        </w:rPr>
        <w:t xml:space="preserve">w nowej perspektywie finansowej </w:t>
      </w:r>
      <w:r w:rsidR="00D72B4D">
        <w:rPr>
          <w:lang w:eastAsia="en-US"/>
        </w:rPr>
        <w:t>koperta płatności bezpośrednich zostanie zwiększona o kwotę 2,34 mld euro pochodzącą z przesunięcia 25% środków z II filaru WPR.</w:t>
      </w:r>
      <w:r w:rsidR="00C941C1">
        <w:rPr>
          <w:lang w:eastAsia="en-US"/>
        </w:rPr>
        <w:t xml:space="preserve"> </w:t>
      </w:r>
      <w:r>
        <w:rPr>
          <w:lang w:eastAsia="en-US"/>
        </w:rPr>
        <w:t xml:space="preserve">Łącznie na płatności bezpośrednie finansowane z budżetu Unii Europejskiej przeznaczone będzie blisko 23,5 mld euro. Ponadto planuje się uzupełnienie płatności </w:t>
      </w:r>
      <w:r w:rsidR="00C941C1">
        <w:rPr>
          <w:lang w:eastAsia="en-US"/>
        </w:rPr>
        <w:t xml:space="preserve">bezpośrednich </w:t>
      </w:r>
      <w:r>
        <w:rPr>
          <w:lang w:eastAsia="en-US"/>
        </w:rPr>
        <w:t>z budżetu krajowego w wysokości ok. 228 mln euro</w:t>
      </w:r>
      <w:r w:rsidR="00C941C1">
        <w:rPr>
          <w:lang w:eastAsia="en-US"/>
        </w:rPr>
        <w:t xml:space="preserve"> (płatności </w:t>
      </w:r>
      <w:r w:rsidR="00C941C1">
        <w:rPr>
          <w:lang w:eastAsia="en-US"/>
        </w:rPr>
        <w:t>chmielu</w:t>
      </w:r>
      <w:r w:rsidR="00C941C1">
        <w:rPr>
          <w:lang w:eastAsia="en-US"/>
        </w:rPr>
        <w:t xml:space="preserve">, tytoniu i skrobi </w:t>
      </w:r>
      <w:r w:rsidR="00F52247">
        <w:rPr>
          <w:lang w:eastAsia="en-US"/>
        </w:rPr>
        <w:t>ziemniaczanej w 2014 r. oraz płatności do tytoniu 2015 - 2020</w:t>
      </w:r>
      <w:r w:rsidR="00C941C1">
        <w:rPr>
          <w:lang w:eastAsia="en-US"/>
        </w:rPr>
        <w:t>)</w:t>
      </w:r>
      <w:r>
        <w:rPr>
          <w:lang w:eastAsia="en-US"/>
        </w:rPr>
        <w:t xml:space="preserve">. Łączne wsparcie </w:t>
      </w:r>
      <w:r w:rsidR="005449A1">
        <w:rPr>
          <w:lang w:eastAsia="en-US"/>
        </w:rPr>
        <w:t xml:space="preserve">finansowe </w:t>
      </w:r>
      <w:r>
        <w:rPr>
          <w:lang w:eastAsia="en-US"/>
        </w:rPr>
        <w:t>w ramach I filara WPR wynies</w:t>
      </w:r>
      <w:r w:rsidR="005449A1">
        <w:rPr>
          <w:lang w:eastAsia="en-US"/>
        </w:rPr>
        <w:t>ie</w:t>
      </w:r>
      <w:r>
        <w:rPr>
          <w:lang w:eastAsia="en-US"/>
        </w:rPr>
        <w:t xml:space="preserve"> ok. 23,7 mld eur</w:t>
      </w:r>
      <w:r w:rsidR="0009773F">
        <w:rPr>
          <w:lang w:eastAsia="en-US"/>
        </w:rPr>
        <w:t>o</w:t>
      </w:r>
      <w:r>
        <w:rPr>
          <w:lang w:eastAsia="en-US"/>
        </w:rPr>
        <w:t>.</w:t>
      </w:r>
    </w:p>
    <w:p w:rsidR="00D72B4D" w:rsidRPr="00407A33" w:rsidRDefault="00D72B4D" w:rsidP="00FF7110">
      <w:pPr>
        <w:spacing w:line="276" w:lineRule="auto"/>
        <w:jc w:val="both"/>
        <w:rPr>
          <w:lang w:eastAsia="en-US"/>
        </w:rPr>
      </w:pPr>
      <w:r w:rsidRPr="00407A33">
        <w:rPr>
          <w:b/>
          <w:lang w:eastAsia="en-US"/>
        </w:rPr>
        <w:t xml:space="preserve">Tabela </w:t>
      </w:r>
      <w:r>
        <w:rPr>
          <w:b/>
          <w:lang w:eastAsia="en-US"/>
        </w:rPr>
        <w:t>2</w:t>
      </w:r>
      <w:r w:rsidRPr="00407A33">
        <w:rPr>
          <w:b/>
          <w:lang w:eastAsia="en-US"/>
        </w:rPr>
        <w:t>.</w:t>
      </w:r>
      <w:r w:rsidRPr="00407A33">
        <w:rPr>
          <w:lang w:eastAsia="en-US"/>
        </w:rPr>
        <w:t xml:space="preserve"> Wysokość środków na </w:t>
      </w:r>
      <w:r w:rsidR="00473C5D">
        <w:rPr>
          <w:lang w:eastAsia="en-US"/>
        </w:rPr>
        <w:t xml:space="preserve">kampanie </w:t>
      </w:r>
      <w:r w:rsidRPr="00407A33">
        <w:rPr>
          <w:lang w:eastAsia="en-US"/>
        </w:rPr>
        <w:t>płatności bezpośredni</w:t>
      </w:r>
      <w:r w:rsidR="00473C5D">
        <w:rPr>
          <w:lang w:eastAsia="en-US"/>
        </w:rPr>
        <w:t>ch</w:t>
      </w:r>
      <w:r w:rsidRPr="00407A33">
        <w:rPr>
          <w:lang w:eastAsia="en-US"/>
        </w:rPr>
        <w:t xml:space="preserve"> w latach 2014-2020.</w:t>
      </w:r>
    </w:p>
    <w:tbl>
      <w:tblPr>
        <w:tblW w:w="4953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11"/>
        <w:gridCol w:w="643"/>
        <w:gridCol w:w="808"/>
        <w:gridCol w:w="808"/>
        <w:gridCol w:w="808"/>
        <w:gridCol w:w="808"/>
        <w:gridCol w:w="808"/>
        <w:gridCol w:w="808"/>
        <w:gridCol w:w="808"/>
        <w:gridCol w:w="1052"/>
      </w:tblGrid>
      <w:tr w:rsidR="00D72B4D" w:rsidRPr="00FF7110" w:rsidTr="00FF7110">
        <w:trPr>
          <w:trHeight w:val="544"/>
          <w:jc w:val="center"/>
        </w:trPr>
        <w:tc>
          <w:tcPr>
            <w:tcW w:w="1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</w:tcPr>
          <w:p w:rsidR="00D72B4D" w:rsidRPr="00FF7110" w:rsidRDefault="00D72B4D" w:rsidP="00F740BF">
            <w:pPr>
              <w:jc w:val="center"/>
              <w:rPr>
                <w:b/>
                <w:bCs/>
                <w:color w:val="000000"/>
              </w:rPr>
            </w:pPr>
            <w:r w:rsidRPr="00FF711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D72B4D" w:rsidRPr="00FF7110" w:rsidRDefault="00D72B4D" w:rsidP="00F740BF">
            <w:pPr>
              <w:jc w:val="center"/>
              <w:rPr>
                <w:b/>
                <w:bCs/>
                <w:color w:val="000000"/>
              </w:rPr>
            </w:pPr>
            <w:r w:rsidRPr="00FF7110">
              <w:rPr>
                <w:b/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D72B4D" w:rsidRPr="00FF7110" w:rsidRDefault="00D72B4D" w:rsidP="00F740BF">
            <w:pPr>
              <w:jc w:val="center"/>
              <w:rPr>
                <w:b/>
                <w:bCs/>
                <w:color w:val="000000"/>
              </w:rPr>
            </w:pPr>
            <w:r w:rsidRPr="00FF7110">
              <w:rPr>
                <w:b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D72B4D" w:rsidRPr="00FF7110" w:rsidRDefault="00D72B4D" w:rsidP="00F740BF">
            <w:pPr>
              <w:jc w:val="center"/>
              <w:rPr>
                <w:b/>
                <w:bCs/>
                <w:color w:val="000000"/>
              </w:rPr>
            </w:pPr>
            <w:r w:rsidRPr="00FF7110">
              <w:rPr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D72B4D" w:rsidRPr="00FF7110" w:rsidRDefault="00D72B4D" w:rsidP="00F740BF">
            <w:pPr>
              <w:jc w:val="center"/>
              <w:rPr>
                <w:b/>
                <w:bCs/>
                <w:color w:val="000000"/>
              </w:rPr>
            </w:pPr>
            <w:r w:rsidRPr="00FF7110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D72B4D" w:rsidRPr="00FF7110" w:rsidRDefault="00D72B4D" w:rsidP="00F740BF">
            <w:pPr>
              <w:jc w:val="center"/>
              <w:rPr>
                <w:b/>
                <w:bCs/>
                <w:color w:val="000000"/>
              </w:rPr>
            </w:pPr>
            <w:r w:rsidRPr="00FF7110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D72B4D" w:rsidRPr="00FF7110" w:rsidRDefault="00D72B4D" w:rsidP="00F740BF">
            <w:pPr>
              <w:jc w:val="center"/>
              <w:rPr>
                <w:b/>
                <w:bCs/>
                <w:color w:val="000000"/>
              </w:rPr>
            </w:pPr>
            <w:r w:rsidRPr="00FF7110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D72B4D" w:rsidRPr="00FF7110" w:rsidRDefault="00D72B4D" w:rsidP="00F740BF">
            <w:pPr>
              <w:jc w:val="center"/>
              <w:rPr>
                <w:b/>
                <w:bCs/>
                <w:color w:val="000000"/>
              </w:rPr>
            </w:pPr>
            <w:r w:rsidRPr="00FF7110"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D72B4D" w:rsidRPr="00FF7110" w:rsidRDefault="00D72B4D" w:rsidP="00F740BF">
            <w:pPr>
              <w:jc w:val="center"/>
              <w:rPr>
                <w:b/>
                <w:bCs/>
                <w:color w:val="000000"/>
              </w:rPr>
            </w:pPr>
            <w:r w:rsidRPr="00FF7110">
              <w:rPr>
                <w:b/>
                <w:bCs/>
                <w:color w:val="000000"/>
                <w:sz w:val="22"/>
                <w:szCs w:val="22"/>
              </w:rPr>
              <w:t>Razem</w:t>
            </w:r>
          </w:p>
        </w:tc>
      </w:tr>
      <w:tr w:rsidR="00D72B4D" w:rsidRPr="00FF7110" w:rsidTr="00FF7110">
        <w:trPr>
          <w:trHeight w:val="665"/>
          <w:jc w:val="center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</w:tcPr>
          <w:p w:rsidR="00D72B4D" w:rsidRPr="00FF7110" w:rsidRDefault="00D72B4D" w:rsidP="00F740BF">
            <w:pPr>
              <w:rPr>
                <w:b/>
                <w:bCs/>
                <w:color w:val="000000"/>
              </w:rPr>
            </w:pPr>
            <w:r w:rsidRPr="00FF7110">
              <w:rPr>
                <w:b/>
                <w:bCs/>
                <w:color w:val="000000"/>
                <w:sz w:val="22"/>
                <w:szCs w:val="22"/>
              </w:rPr>
              <w:t>Środki I filaru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:rsidR="00D72B4D" w:rsidRPr="00FF7110" w:rsidRDefault="00D72B4D" w:rsidP="00F740BF">
            <w:pPr>
              <w:jc w:val="center"/>
              <w:rPr>
                <w:i/>
                <w:iCs/>
                <w:color w:val="000000"/>
              </w:rPr>
            </w:pPr>
            <w:r w:rsidRPr="00FF7110">
              <w:rPr>
                <w:i/>
                <w:iCs/>
                <w:color w:val="000000"/>
                <w:sz w:val="22"/>
                <w:szCs w:val="22"/>
              </w:rPr>
              <w:t xml:space="preserve">mln </w:t>
            </w:r>
            <w:r w:rsidRPr="00FF7110">
              <w:rPr>
                <w:i/>
                <w:iCs/>
                <w:color w:val="000000"/>
                <w:sz w:val="22"/>
                <w:szCs w:val="22"/>
              </w:rPr>
              <w:br/>
              <w:t>EUR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</w:pPr>
            <w:r w:rsidRPr="00854ACB">
              <w:t>2 970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</w:pPr>
            <w:r w:rsidRPr="00854ACB">
              <w:t>2 987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</w:pPr>
            <w:r w:rsidRPr="00854ACB">
              <w:t>3 005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</w:pPr>
            <w:r w:rsidRPr="00854ACB">
              <w:t>3 022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</w:pPr>
            <w:r w:rsidRPr="00854ACB">
              <w:t>3 042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</w:pPr>
            <w:r w:rsidRPr="00854ACB">
              <w:t>3 062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</w:pPr>
            <w:r w:rsidRPr="00854ACB">
              <w:t>3 062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D72B4D" w:rsidRPr="00854ACB" w:rsidRDefault="00D72B4D" w:rsidP="00854ACB">
            <w:pPr>
              <w:jc w:val="right"/>
              <w:rPr>
                <w:b/>
                <w:bCs/>
                <w:color w:val="000000"/>
              </w:rPr>
            </w:pPr>
            <w:r w:rsidRPr="00854ACB">
              <w:rPr>
                <w:b/>
                <w:bCs/>
                <w:color w:val="000000"/>
              </w:rPr>
              <w:t>21 1</w:t>
            </w:r>
            <w:r w:rsidR="00854ACB" w:rsidRPr="00854ACB">
              <w:rPr>
                <w:b/>
                <w:bCs/>
                <w:color w:val="000000"/>
              </w:rPr>
              <w:t>50</w:t>
            </w:r>
          </w:p>
        </w:tc>
      </w:tr>
      <w:tr w:rsidR="00D72B4D" w:rsidRPr="00FF7110" w:rsidTr="00FF7110">
        <w:trPr>
          <w:trHeight w:val="665"/>
          <w:jc w:val="center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</w:tcPr>
          <w:p w:rsidR="00D72B4D" w:rsidRPr="00FF7110" w:rsidRDefault="00D72B4D" w:rsidP="00F740BF">
            <w:pPr>
              <w:rPr>
                <w:b/>
                <w:bCs/>
                <w:color w:val="000000"/>
              </w:rPr>
            </w:pPr>
            <w:r w:rsidRPr="00FF7110">
              <w:rPr>
                <w:b/>
                <w:bCs/>
                <w:color w:val="000000"/>
                <w:sz w:val="22"/>
                <w:szCs w:val="22"/>
              </w:rPr>
              <w:t>25% środków II filaru</w:t>
            </w: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:rsidR="00D72B4D" w:rsidRPr="00FF7110" w:rsidRDefault="00D72B4D" w:rsidP="00F740BF">
            <w:pPr>
              <w:rPr>
                <w:i/>
                <w:iCs/>
                <w:color w:val="00000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</w:pPr>
            <w:r w:rsidRPr="00854ACB">
              <w:t>392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</w:pPr>
            <w:r w:rsidRPr="00854ACB">
              <w:t>391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</w:pPr>
            <w:r w:rsidRPr="00854ACB">
              <w:t>391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</w:pPr>
            <w:r w:rsidRPr="00854ACB">
              <w:t>390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</w:pPr>
            <w:r w:rsidRPr="00854ACB">
              <w:t>390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</w:pPr>
            <w:r w:rsidRPr="00854ACB">
              <w:t>389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</w:pPr>
            <w:r w:rsidRPr="00854ACB"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D72B4D" w:rsidRPr="00854ACB" w:rsidRDefault="00D72B4D" w:rsidP="00F740BF">
            <w:pPr>
              <w:jc w:val="right"/>
              <w:rPr>
                <w:b/>
                <w:bCs/>
                <w:color w:val="000000"/>
              </w:rPr>
            </w:pPr>
            <w:r w:rsidRPr="00854ACB">
              <w:rPr>
                <w:b/>
                <w:bCs/>
                <w:color w:val="000000"/>
              </w:rPr>
              <w:t>2 343</w:t>
            </w:r>
          </w:p>
        </w:tc>
      </w:tr>
      <w:tr w:rsidR="00D72B4D" w:rsidRPr="00FF7110" w:rsidTr="00FF7110">
        <w:trPr>
          <w:trHeight w:val="665"/>
          <w:jc w:val="center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</w:tcPr>
          <w:p w:rsidR="00D72B4D" w:rsidRPr="00FF7110" w:rsidRDefault="00D72B4D" w:rsidP="00F740BF">
            <w:pPr>
              <w:rPr>
                <w:b/>
                <w:bCs/>
                <w:color w:val="000000"/>
              </w:rPr>
            </w:pPr>
            <w:r w:rsidRPr="00FF7110">
              <w:rPr>
                <w:b/>
                <w:bCs/>
                <w:color w:val="000000"/>
                <w:sz w:val="22"/>
                <w:szCs w:val="22"/>
              </w:rPr>
              <w:t xml:space="preserve">Ogółem wsparcie </w:t>
            </w:r>
            <w:r w:rsidRPr="00FF7110">
              <w:rPr>
                <w:b/>
                <w:bCs/>
                <w:color w:val="000000"/>
                <w:sz w:val="22"/>
                <w:szCs w:val="22"/>
              </w:rPr>
              <w:br/>
              <w:t>z budżetu UE</w:t>
            </w: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:rsidR="00D72B4D" w:rsidRPr="00FF7110" w:rsidRDefault="00D72B4D" w:rsidP="00F740BF">
            <w:pPr>
              <w:rPr>
                <w:i/>
                <w:iCs/>
                <w:color w:val="00000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  <w:rPr>
                <w:b/>
                <w:bCs/>
                <w:color w:val="000000"/>
              </w:rPr>
            </w:pPr>
            <w:r w:rsidRPr="00854ACB">
              <w:rPr>
                <w:b/>
                <w:bCs/>
                <w:color w:val="000000"/>
              </w:rPr>
              <w:t>3 362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  <w:rPr>
                <w:b/>
                <w:bCs/>
                <w:color w:val="000000"/>
              </w:rPr>
            </w:pPr>
            <w:r w:rsidRPr="00854ACB">
              <w:rPr>
                <w:b/>
                <w:bCs/>
                <w:color w:val="000000"/>
              </w:rPr>
              <w:t>3 37</w:t>
            </w:r>
            <w:r w:rsidR="00854ACB" w:rsidRPr="00854ACB">
              <w:rPr>
                <w:b/>
                <w:bCs/>
                <w:color w:val="000000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  <w:rPr>
                <w:b/>
                <w:bCs/>
                <w:color w:val="000000"/>
              </w:rPr>
            </w:pPr>
            <w:r w:rsidRPr="00854ACB">
              <w:rPr>
                <w:b/>
                <w:bCs/>
                <w:color w:val="000000"/>
              </w:rPr>
              <w:t>3 39</w:t>
            </w:r>
            <w:r w:rsidR="00854ACB" w:rsidRPr="00854ACB">
              <w:rPr>
                <w:b/>
                <w:bCs/>
                <w:color w:val="000000"/>
              </w:rPr>
              <w:t>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  <w:rPr>
                <w:b/>
                <w:bCs/>
                <w:color w:val="000000"/>
              </w:rPr>
            </w:pPr>
            <w:r w:rsidRPr="00854ACB">
              <w:rPr>
                <w:b/>
                <w:bCs/>
                <w:color w:val="000000"/>
              </w:rPr>
              <w:t>3 41</w:t>
            </w:r>
            <w:r w:rsidR="00854ACB" w:rsidRPr="00854ACB">
              <w:rPr>
                <w:b/>
                <w:bCs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  <w:rPr>
                <w:b/>
                <w:bCs/>
                <w:color w:val="000000"/>
              </w:rPr>
            </w:pPr>
            <w:r w:rsidRPr="00854ACB">
              <w:rPr>
                <w:b/>
                <w:bCs/>
                <w:color w:val="000000"/>
              </w:rPr>
              <w:t>3 43</w:t>
            </w:r>
            <w:r w:rsidR="00854ACB" w:rsidRPr="00854ACB">
              <w:rPr>
                <w:b/>
                <w:bCs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  <w:rPr>
                <w:b/>
                <w:bCs/>
                <w:color w:val="000000"/>
              </w:rPr>
            </w:pPr>
            <w:r w:rsidRPr="00854ACB">
              <w:rPr>
                <w:b/>
                <w:bCs/>
                <w:color w:val="000000"/>
              </w:rPr>
              <w:t>3 451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B4D" w:rsidRPr="00854ACB" w:rsidRDefault="00D72B4D" w:rsidP="00F740BF">
            <w:pPr>
              <w:jc w:val="right"/>
              <w:rPr>
                <w:b/>
                <w:bCs/>
                <w:color w:val="000000"/>
              </w:rPr>
            </w:pPr>
            <w:r w:rsidRPr="00854ACB">
              <w:rPr>
                <w:b/>
                <w:bCs/>
                <w:color w:val="000000"/>
              </w:rPr>
              <w:t>3 062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D72B4D" w:rsidRPr="00854ACB" w:rsidRDefault="00D72B4D" w:rsidP="00F740BF">
            <w:pPr>
              <w:jc w:val="right"/>
              <w:rPr>
                <w:b/>
                <w:bCs/>
                <w:color w:val="000000"/>
              </w:rPr>
            </w:pPr>
            <w:r w:rsidRPr="00854ACB">
              <w:rPr>
                <w:b/>
                <w:bCs/>
                <w:color w:val="000000"/>
              </w:rPr>
              <w:t>23 49</w:t>
            </w:r>
            <w:r w:rsidR="00854ACB" w:rsidRPr="00854ACB">
              <w:rPr>
                <w:b/>
                <w:bCs/>
                <w:color w:val="000000"/>
              </w:rPr>
              <w:t>3</w:t>
            </w:r>
          </w:p>
        </w:tc>
      </w:tr>
    </w:tbl>
    <w:p w:rsidR="0009773F" w:rsidRDefault="0009773F" w:rsidP="005E234A">
      <w:pPr>
        <w:spacing w:after="120" w:line="276" w:lineRule="auto"/>
        <w:jc w:val="both"/>
        <w:rPr>
          <w:lang w:eastAsia="en-US"/>
        </w:rPr>
      </w:pPr>
    </w:p>
    <w:p w:rsidR="00D72B4D" w:rsidRDefault="00D72B4D" w:rsidP="005E234A">
      <w:pPr>
        <w:spacing w:after="120" w:line="276" w:lineRule="auto"/>
        <w:jc w:val="both"/>
        <w:rPr>
          <w:lang w:eastAsia="en-US"/>
        </w:rPr>
      </w:pPr>
      <w:r>
        <w:rPr>
          <w:lang w:eastAsia="en-US"/>
        </w:rPr>
        <w:lastRenderedPageBreak/>
        <w:t xml:space="preserve">Ponadto wdrożone zostaną następujące </w:t>
      </w:r>
      <w:r w:rsidRPr="00861D86">
        <w:rPr>
          <w:u w:val="single"/>
          <w:lang w:eastAsia="en-US"/>
        </w:rPr>
        <w:t>nowe</w:t>
      </w:r>
      <w:r>
        <w:rPr>
          <w:u w:val="single"/>
          <w:lang w:eastAsia="en-US"/>
        </w:rPr>
        <w:t>,</w:t>
      </w:r>
      <w:r w:rsidRPr="00861D86">
        <w:rPr>
          <w:u w:val="single"/>
          <w:lang w:eastAsia="en-US"/>
        </w:rPr>
        <w:t xml:space="preserve"> obowiązkowe elementy</w:t>
      </w:r>
      <w:r>
        <w:rPr>
          <w:lang w:eastAsia="en-US"/>
        </w:rPr>
        <w:t>:</w:t>
      </w:r>
    </w:p>
    <w:p w:rsidR="00D72B4D" w:rsidRDefault="00D72B4D" w:rsidP="005E234A">
      <w:pPr>
        <w:numPr>
          <w:ilvl w:val="0"/>
          <w:numId w:val="25"/>
        </w:numPr>
        <w:spacing w:after="200" w:line="276" w:lineRule="auto"/>
        <w:ind w:left="426" w:hanging="284"/>
        <w:jc w:val="both"/>
        <w:rPr>
          <w:b/>
          <w:lang w:eastAsia="en-US"/>
        </w:rPr>
      </w:pPr>
      <w:r w:rsidRPr="00BC6A9B">
        <w:rPr>
          <w:b/>
          <w:lang w:eastAsia="en-US"/>
        </w:rPr>
        <w:t>Zazielenienie</w:t>
      </w:r>
      <w:r w:rsidRPr="00BC6A9B">
        <w:rPr>
          <w:lang w:eastAsia="en-US"/>
        </w:rPr>
        <w:t xml:space="preserve"> - płatność ta ma charakter obowiązkowy i realizowana będzie przez trzy praktyki: dywersyfikację upraw, utrzymanie trwałych użytków zielonych (TUZ) oraz  utrzymanie obszarów proekologicznych (EFA). Na finansowanie tej płatności przeznaczonych będzie 30% kwoty płatności bezpośrednich, tj. ok. 900 mln EUR rocznie. </w:t>
      </w:r>
    </w:p>
    <w:p w:rsidR="00D72B4D" w:rsidRPr="0006667A" w:rsidRDefault="00D72B4D" w:rsidP="00861D86">
      <w:pPr>
        <w:pStyle w:val="Akapitzlist"/>
        <w:numPr>
          <w:ilvl w:val="0"/>
          <w:numId w:val="24"/>
        </w:numPr>
        <w:spacing w:after="240" w:line="276" w:lineRule="auto"/>
        <w:ind w:left="426" w:hanging="284"/>
      </w:pPr>
      <w:r w:rsidRPr="00417E51">
        <w:rPr>
          <w:b/>
        </w:rPr>
        <w:t xml:space="preserve">Płatność dla młodych rolników </w:t>
      </w:r>
      <w:r w:rsidRPr="00417E51">
        <w:t xml:space="preserve">– </w:t>
      </w:r>
      <w:r>
        <w:t>n</w:t>
      </w:r>
      <w:r w:rsidRPr="00417E51">
        <w:rPr>
          <w:bCs/>
        </w:rPr>
        <w:t>a ten cel można przeznaczyć do 2% kwoty rocznej koperty krajowej.</w:t>
      </w:r>
      <w:r>
        <w:rPr>
          <w:bCs/>
        </w:rPr>
        <w:t xml:space="preserve"> Za młodych rolników będą uznawane osoby fizyczne, których wiek w </w:t>
      </w:r>
      <w:r w:rsidRPr="00B3258E">
        <w:t>roku składania wniosku nie przekracza 40 lat</w:t>
      </w:r>
      <w:r>
        <w:t xml:space="preserve">. </w:t>
      </w:r>
      <w:r w:rsidRPr="00861D86">
        <w:t xml:space="preserve">Co do zasady państwa członkowskie będą określały limit powierzchniowy dla przyznawania płatności dla młodych rolników, który ma się zawierać w przedziale od 25 do </w:t>
      </w:r>
      <w:smartTag w:uri="urn:schemas-microsoft-com:office:smarttags" w:element="metricconverter">
        <w:smartTagPr>
          <w:attr w:name="ProductID" w:val="90 ha"/>
        </w:smartTagPr>
        <w:r w:rsidRPr="00861D86">
          <w:t>90 ha</w:t>
        </w:r>
      </w:smartTag>
      <w:r w:rsidRPr="00861D86">
        <w:t xml:space="preserve"> (nie dotyczy sytuacji, gdy wsparcie przyznawane jest w formie płatności ryczałtowej).</w:t>
      </w:r>
      <w:r w:rsidRPr="00861D86">
        <w:rPr>
          <w:b/>
        </w:rPr>
        <w:t xml:space="preserve"> </w:t>
      </w:r>
    </w:p>
    <w:p w:rsidR="00D72B4D" w:rsidRPr="00861D86" w:rsidRDefault="00D72B4D" w:rsidP="00861D86">
      <w:pPr>
        <w:spacing w:after="200" w:line="276" w:lineRule="auto"/>
        <w:jc w:val="both"/>
        <w:rPr>
          <w:lang w:eastAsia="en-US"/>
        </w:rPr>
      </w:pPr>
      <w:r w:rsidRPr="00861D86">
        <w:rPr>
          <w:lang w:eastAsia="en-US"/>
        </w:rPr>
        <w:t>Państwa członkowskie będą mogły zdecydow</w:t>
      </w:r>
      <w:r>
        <w:rPr>
          <w:lang w:eastAsia="en-US"/>
        </w:rPr>
        <w:t xml:space="preserve">ać o wdrożeniu </w:t>
      </w:r>
      <w:r w:rsidRPr="00861D86">
        <w:rPr>
          <w:u w:val="single"/>
          <w:lang w:eastAsia="en-US"/>
        </w:rPr>
        <w:t>dodatkowych, fakultatywnych elementów</w:t>
      </w:r>
      <w:r w:rsidR="000E002F">
        <w:rPr>
          <w:u w:val="single"/>
          <w:lang w:eastAsia="en-US"/>
        </w:rPr>
        <w:t xml:space="preserve"> płatności </w:t>
      </w:r>
      <w:r w:rsidR="00473C5D">
        <w:rPr>
          <w:u w:val="single"/>
          <w:lang w:eastAsia="en-US"/>
        </w:rPr>
        <w:t>bezpośrednich</w:t>
      </w:r>
      <w:r w:rsidRPr="00FF7110">
        <w:rPr>
          <w:lang w:eastAsia="en-US"/>
        </w:rPr>
        <w:t>, w szczególności:</w:t>
      </w:r>
    </w:p>
    <w:p w:rsidR="00D72B4D" w:rsidRDefault="00D72B4D" w:rsidP="00BB5FC0">
      <w:pPr>
        <w:numPr>
          <w:ilvl w:val="0"/>
          <w:numId w:val="26"/>
        </w:numPr>
        <w:spacing w:after="120" w:line="276" w:lineRule="auto"/>
        <w:ind w:left="426" w:hanging="284"/>
        <w:jc w:val="both"/>
      </w:pPr>
      <w:r w:rsidRPr="00BB5FC0">
        <w:rPr>
          <w:b/>
          <w:lang w:eastAsia="en-US"/>
        </w:rPr>
        <w:t>Płatności związane z produkcją</w:t>
      </w:r>
      <w:r w:rsidRPr="00BB5FC0">
        <w:rPr>
          <w:i/>
          <w:lang w:eastAsia="en-US"/>
        </w:rPr>
        <w:t xml:space="preserve"> </w:t>
      </w:r>
      <w:r w:rsidRPr="00BB5FC0">
        <w:rPr>
          <w:lang w:eastAsia="en-US"/>
        </w:rPr>
        <w:t xml:space="preserve">– maksymalnie na ten cel można przeznaczyć do 15% koperty krajowej (o ile na wsparcie upraw roślin wysokobiałkowych przeznaczone zostanie co najmniej 2% tej koperty). Wsparcie może być przyznawane do następujących sektorów </w:t>
      </w:r>
      <w:r>
        <w:rPr>
          <w:lang w:eastAsia="en-US"/>
        </w:rPr>
        <w:br/>
      </w:r>
      <w:r w:rsidRPr="00BB5FC0">
        <w:rPr>
          <w:lang w:eastAsia="en-US"/>
        </w:rPr>
        <w:t xml:space="preserve">i rodzajów produkcji: </w:t>
      </w:r>
      <w:r w:rsidRPr="00035F05">
        <w:t>zboża, nasiona oleiste, rośliny wysokobiałkowe, rośliny strączkowe, len, konopie, ryż, orzechy, ziemniak skrobiowy, mleko i przetwory m</w:t>
      </w:r>
      <w:r>
        <w:t xml:space="preserve">leczne, nasiona, mięso baranie </w:t>
      </w:r>
      <w:r w:rsidRPr="00035F05">
        <w:t>i mięso kozie, wołowina i cielęcina, oliwa z oliwek, jedwabniki, susz paszowy, chmiel, burak cukrowy, trzcina cukrowa i cykoria, owoce i warzywa oraz zagajniki o krótkiej rotacji</w:t>
      </w:r>
      <w:r>
        <w:rPr>
          <w:lang w:eastAsia="en-US"/>
        </w:rPr>
        <w:t xml:space="preserve">. </w:t>
      </w:r>
      <w:r w:rsidRPr="00BB5FC0">
        <w:rPr>
          <w:lang w:eastAsia="en-US"/>
        </w:rPr>
        <w:t>W</w:t>
      </w:r>
      <w:r w:rsidRPr="0099391C">
        <w:t xml:space="preserve">sparcie </w:t>
      </w:r>
      <w:r>
        <w:t xml:space="preserve">to </w:t>
      </w:r>
      <w:r w:rsidRPr="0099391C">
        <w:t>będzie przyznawane wyłącznie sektorom lub regionom państwa członkowskiego, w których określone typy rolnicze lub określone sektory rolnictwa mają szczególne znaczenie ze względów gospodarczych, społecznych lub środowiskowych</w:t>
      </w:r>
      <w:r w:rsidRPr="00BC7411">
        <w:t xml:space="preserve"> </w:t>
      </w:r>
      <w:r>
        <w:br/>
        <w:t xml:space="preserve">i </w:t>
      </w:r>
      <w:r w:rsidRPr="0099391C">
        <w:t>z</w:t>
      </w:r>
      <w:r>
        <w:t>najdują się w trudnej sytuacji</w:t>
      </w:r>
      <w:r w:rsidRPr="0099391C">
        <w:t xml:space="preserve">. Ponadto </w:t>
      </w:r>
      <w:r>
        <w:t xml:space="preserve">przedmiotowe </w:t>
      </w:r>
      <w:r w:rsidRPr="0099391C">
        <w:t xml:space="preserve">wsparcie będzie stosowane wyłącznie w celu stworzenia zachęty do utrzymania obecnych poziomów produkcji oraz </w:t>
      </w:r>
      <w:r w:rsidR="00F52247">
        <w:br/>
      </w:r>
      <w:r w:rsidRPr="0099391C">
        <w:t xml:space="preserve">w </w:t>
      </w:r>
      <w:r>
        <w:t>granicach określonych</w:t>
      </w:r>
      <w:r w:rsidRPr="0099391C">
        <w:t xml:space="preserve"> limitów ilościowych </w:t>
      </w:r>
      <w:r>
        <w:t>opartych na ustalonych</w:t>
      </w:r>
      <w:r w:rsidRPr="0099391C">
        <w:t xml:space="preserve"> </w:t>
      </w:r>
      <w:r>
        <w:t>obszarach</w:t>
      </w:r>
      <w:r w:rsidRPr="0099391C">
        <w:t>, plonach lub liczbie zwierząt.</w:t>
      </w:r>
      <w:r w:rsidRPr="00BB5FC0">
        <w:rPr>
          <w:highlight w:val="yellow"/>
        </w:rPr>
        <w:t xml:space="preserve"> </w:t>
      </w:r>
      <w:r w:rsidR="005449A1">
        <w:t xml:space="preserve"> </w:t>
      </w:r>
    </w:p>
    <w:p w:rsidR="00D72B4D" w:rsidRPr="00A2436A" w:rsidRDefault="00D72B4D" w:rsidP="00BB5FC0">
      <w:pPr>
        <w:numPr>
          <w:ilvl w:val="0"/>
          <w:numId w:val="26"/>
        </w:numPr>
        <w:tabs>
          <w:tab w:val="left" w:pos="426"/>
        </w:tabs>
        <w:spacing w:after="200" w:line="276" w:lineRule="auto"/>
        <w:ind w:left="426" w:hanging="284"/>
        <w:jc w:val="both"/>
        <w:rPr>
          <w:b/>
          <w:lang w:eastAsia="en-US"/>
        </w:rPr>
      </w:pPr>
      <w:r w:rsidRPr="00A2436A">
        <w:rPr>
          <w:b/>
          <w:lang w:eastAsia="en-US"/>
        </w:rPr>
        <w:t>Płatności dla małych gospodarstw</w:t>
      </w:r>
      <w:r w:rsidRPr="00A2436A">
        <w:rPr>
          <w:i/>
          <w:lang w:eastAsia="en-US"/>
        </w:rPr>
        <w:t xml:space="preserve"> </w:t>
      </w:r>
      <w:r w:rsidRPr="00A2436A">
        <w:rPr>
          <w:lang w:eastAsia="en-US"/>
        </w:rPr>
        <w:t xml:space="preserve">– </w:t>
      </w:r>
      <w:r>
        <w:rPr>
          <w:lang w:eastAsia="en-US"/>
        </w:rPr>
        <w:t xml:space="preserve">płatność ta, w maksymalnej wysokości 1250 EUR/gospodarstwo, zastąpi </w:t>
      </w:r>
      <w:r w:rsidRPr="00A2436A">
        <w:rPr>
          <w:bCs/>
        </w:rPr>
        <w:t>wszystki</w:t>
      </w:r>
      <w:r>
        <w:rPr>
          <w:bCs/>
        </w:rPr>
        <w:t>e</w:t>
      </w:r>
      <w:r w:rsidRPr="00A2436A">
        <w:rPr>
          <w:bCs/>
        </w:rPr>
        <w:t xml:space="preserve"> inn</w:t>
      </w:r>
      <w:r>
        <w:rPr>
          <w:bCs/>
        </w:rPr>
        <w:t>e</w:t>
      </w:r>
      <w:r w:rsidRPr="00A2436A">
        <w:rPr>
          <w:bCs/>
        </w:rPr>
        <w:t xml:space="preserve"> form</w:t>
      </w:r>
      <w:r>
        <w:rPr>
          <w:bCs/>
        </w:rPr>
        <w:t>y</w:t>
      </w:r>
      <w:r w:rsidRPr="00A2436A">
        <w:rPr>
          <w:bCs/>
        </w:rPr>
        <w:t xml:space="preserve"> wsparcia w ramach „standardowego” systemu płatności.</w:t>
      </w:r>
      <w:r w:rsidRPr="00A2436A">
        <w:rPr>
          <w:b/>
          <w:lang w:eastAsia="en-US"/>
        </w:rPr>
        <w:t xml:space="preserve"> </w:t>
      </w:r>
      <w:r w:rsidRPr="00A2436A">
        <w:rPr>
          <w:bCs/>
        </w:rPr>
        <w:t xml:space="preserve">Rolnicy </w:t>
      </w:r>
      <w:r>
        <w:rPr>
          <w:bCs/>
        </w:rPr>
        <w:t>uczestniczący w systemie</w:t>
      </w:r>
      <w:r w:rsidRPr="00A2436A">
        <w:rPr>
          <w:bCs/>
        </w:rPr>
        <w:t xml:space="preserve"> nie będą objęci kontrolą</w:t>
      </w:r>
      <w:r w:rsidRPr="00112BDD">
        <w:t xml:space="preserve"> norm </w:t>
      </w:r>
      <w:r>
        <w:br/>
      </w:r>
      <w:r w:rsidRPr="00112BDD">
        <w:t>i wymogów wzajemnej zgodności, a także zostaną zwolnieni z konieczności stosowania praktyk w zakresie zazielenienia.</w:t>
      </w:r>
    </w:p>
    <w:p w:rsidR="00D72B4D" w:rsidRPr="005E234A" w:rsidRDefault="00D72B4D" w:rsidP="005E234A">
      <w:pPr>
        <w:numPr>
          <w:ilvl w:val="0"/>
          <w:numId w:val="27"/>
        </w:numPr>
        <w:spacing w:after="200" w:line="276" w:lineRule="auto"/>
        <w:ind w:left="426" w:hanging="284"/>
        <w:jc w:val="both"/>
        <w:rPr>
          <w:b/>
          <w:lang w:eastAsia="en-US"/>
        </w:rPr>
      </w:pPr>
      <w:r>
        <w:rPr>
          <w:b/>
          <w:lang w:eastAsia="en-US"/>
        </w:rPr>
        <w:t>Wsparcie</w:t>
      </w:r>
      <w:r w:rsidRPr="00D413C9">
        <w:rPr>
          <w:b/>
          <w:lang w:eastAsia="en-US"/>
        </w:rPr>
        <w:t xml:space="preserve"> krajowe </w:t>
      </w:r>
      <w:r w:rsidRPr="00D413C9">
        <w:rPr>
          <w:lang w:eastAsia="en-US"/>
        </w:rPr>
        <w:t>- państwa, które w nowej perspektywie zdecydują się kontynuować SAPS, będą mogły skorzystać w latach 201</w:t>
      </w:r>
      <w:r>
        <w:rPr>
          <w:lang w:eastAsia="en-US"/>
        </w:rPr>
        <w:t>5</w:t>
      </w:r>
      <w:r w:rsidRPr="00D413C9">
        <w:rPr>
          <w:lang w:eastAsia="en-US"/>
        </w:rPr>
        <w:t xml:space="preserve">-2020 z przejściowego wsparcia krajowego (PWK) o charakterze degresywnym – od  75% poziomu PWK z 2013 r. w roku 2015, do 50% w 2020 r. Decyzję w sprawie stosowania wsparcia krajowego należy podjąć do dnia </w:t>
      </w:r>
      <w:r w:rsidR="00F52247">
        <w:rPr>
          <w:lang w:eastAsia="en-US"/>
        </w:rPr>
        <w:br/>
      </w:r>
      <w:r w:rsidRPr="00D413C9">
        <w:rPr>
          <w:lang w:eastAsia="en-US"/>
        </w:rPr>
        <w:t xml:space="preserve">31 marca roku, za który wsparcie to miałoby zostać przyznane. W ramach pomocy krajowej wspierane mogą być sektory, które uzyskiwały przejściowe wsparcie krajowe w 2013 r., </w:t>
      </w:r>
      <w:r>
        <w:rPr>
          <w:lang w:eastAsia="en-US"/>
        </w:rPr>
        <w:br/>
      </w:r>
      <w:r w:rsidRPr="00D413C9">
        <w:rPr>
          <w:lang w:eastAsia="en-US"/>
        </w:rPr>
        <w:t xml:space="preserve">a więc w przypadku Polski są to: tzw. sektor I, który obejmuje ważniejsze rośliny uprawne, sektor chmielu, sektor skrobi ziemniaczanej, sektor tytoniu oraz sektor upraw paszowych na trwałych użytkach zielonych (płatność zwierzęca). </w:t>
      </w:r>
    </w:p>
    <w:p w:rsidR="00D72B4D" w:rsidRPr="008F0A18" w:rsidRDefault="00D72B4D" w:rsidP="005E234A">
      <w:pPr>
        <w:spacing w:after="200" w:line="276" w:lineRule="auto"/>
        <w:ind w:left="142"/>
        <w:jc w:val="both"/>
        <w:rPr>
          <w:lang w:eastAsia="en-US"/>
        </w:rPr>
      </w:pPr>
      <w:r w:rsidRPr="008F0A18">
        <w:rPr>
          <w:lang w:eastAsia="en-US"/>
        </w:rPr>
        <w:lastRenderedPageBreak/>
        <w:t>Ponadto, wdrożone zostaną przepisy w zakresie:</w:t>
      </w:r>
    </w:p>
    <w:p w:rsidR="00D72B4D" w:rsidRPr="008F0A18" w:rsidRDefault="00D72B4D" w:rsidP="008F0A18">
      <w:pPr>
        <w:numPr>
          <w:ilvl w:val="0"/>
          <w:numId w:val="20"/>
        </w:numPr>
        <w:tabs>
          <w:tab w:val="left" w:pos="426"/>
        </w:tabs>
        <w:spacing w:after="120" w:line="276" w:lineRule="auto"/>
        <w:ind w:left="425" w:hanging="425"/>
        <w:jc w:val="both"/>
      </w:pPr>
      <w:r>
        <w:rPr>
          <w:b/>
          <w:lang w:eastAsia="en-US"/>
        </w:rPr>
        <w:t>Aktywnego</w:t>
      </w:r>
      <w:r w:rsidRPr="004D2426">
        <w:rPr>
          <w:b/>
          <w:lang w:eastAsia="en-US"/>
        </w:rPr>
        <w:t xml:space="preserve"> rolnik</w:t>
      </w:r>
      <w:r>
        <w:rPr>
          <w:b/>
          <w:lang w:eastAsia="en-US"/>
        </w:rPr>
        <w:t>a</w:t>
      </w:r>
      <w:r w:rsidRPr="004D2426">
        <w:rPr>
          <w:b/>
          <w:lang w:eastAsia="en-US"/>
        </w:rPr>
        <w:t xml:space="preserve"> </w:t>
      </w:r>
      <w:r w:rsidRPr="004D2426">
        <w:rPr>
          <w:lang w:eastAsia="en-US"/>
        </w:rPr>
        <w:t xml:space="preserve">- </w:t>
      </w:r>
      <w:r w:rsidRPr="004D2426">
        <w:t xml:space="preserve">krótka, obligatoryjna lista podmiotów wyłączonych ze wsparcia: podmioty administrujące: lotniskami, wodociągami, stałymi terenami sportowymi </w:t>
      </w:r>
      <w:r>
        <w:br/>
      </w:r>
      <w:r w:rsidRPr="004D2426">
        <w:t>i rekreacyjnymi, świadczące usługi przewozu kolejowego, czy też usługi w zakr</w:t>
      </w:r>
      <w:r w:rsidR="00F52247">
        <w:t xml:space="preserve">esie obrotu nieruchomościami. Państwa </w:t>
      </w:r>
      <w:r w:rsidRPr="004D2426">
        <w:t>cz</w:t>
      </w:r>
      <w:r w:rsidR="00F52247">
        <w:t>łonkowskie</w:t>
      </w:r>
      <w:r w:rsidRPr="004D2426">
        <w:t xml:space="preserve"> będą mogły uzupełniać tę listę oraz usuwać podmioty dodane.</w:t>
      </w:r>
      <w:r>
        <w:t xml:space="preserve"> </w:t>
      </w:r>
      <w:r w:rsidRPr="004D2426">
        <w:t>Przedsiębiorstwa z ww. listy mogą zostać uznane za aktywnych, jeśli suma uzyskiwanych przez nie płatności bezpośrednich stanowi co najmniej 5% dochodów z działalności pozarolniczej, jeśli ich działalność rolnicza nie ma charakteru marginalnego i/lub jeśli głównym celem działalności podmiotu jest działalność rolnicza.</w:t>
      </w:r>
      <w:r>
        <w:t xml:space="preserve"> </w:t>
      </w:r>
      <w:r w:rsidRPr="004D2426">
        <w:t>Powyższych zasad nie stosuje się do podmiotów, które otrzymują płatności nie większe od określonej przez państwo członkowskie kwoty, jednak kwota ta nie może przekroczyć 5000 euro.</w:t>
      </w:r>
    </w:p>
    <w:p w:rsidR="00D72B4D" w:rsidRDefault="00D72B4D" w:rsidP="001E0052">
      <w:pPr>
        <w:numPr>
          <w:ilvl w:val="0"/>
          <w:numId w:val="20"/>
        </w:numPr>
        <w:tabs>
          <w:tab w:val="left" w:pos="426"/>
        </w:tabs>
        <w:spacing w:after="120" w:line="276" w:lineRule="auto"/>
        <w:ind w:left="426" w:hanging="426"/>
        <w:jc w:val="both"/>
        <w:rPr>
          <w:lang w:eastAsia="en-US"/>
        </w:rPr>
      </w:pPr>
      <w:r w:rsidRPr="001E0052">
        <w:rPr>
          <w:b/>
          <w:lang w:eastAsia="en-US"/>
        </w:rPr>
        <w:t>Redukcj</w:t>
      </w:r>
      <w:r>
        <w:rPr>
          <w:b/>
          <w:lang w:eastAsia="en-US"/>
        </w:rPr>
        <w:t>i</w:t>
      </w:r>
      <w:r w:rsidRPr="001E0052">
        <w:rPr>
          <w:b/>
          <w:lang w:eastAsia="en-US"/>
        </w:rPr>
        <w:t xml:space="preserve"> płatności</w:t>
      </w:r>
      <w:r>
        <w:rPr>
          <w:b/>
          <w:lang w:eastAsia="en-US"/>
        </w:rPr>
        <w:t xml:space="preserve"> </w:t>
      </w:r>
      <w:r w:rsidRPr="001E0052">
        <w:rPr>
          <w:lang w:eastAsia="en-US"/>
        </w:rPr>
        <w:t>–</w:t>
      </w:r>
      <w:r w:rsidRPr="001E0052">
        <w:rPr>
          <w:i/>
          <w:lang w:eastAsia="en-US"/>
        </w:rPr>
        <w:t xml:space="preserve"> </w:t>
      </w:r>
      <w:r>
        <w:rPr>
          <w:lang w:eastAsia="en-US"/>
        </w:rPr>
        <w:t>r</w:t>
      </w:r>
      <w:r w:rsidRPr="001E0052">
        <w:rPr>
          <w:lang w:eastAsia="en-US"/>
        </w:rPr>
        <w:t xml:space="preserve">edukcja </w:t>
      </w:r>
      <w:r>
        <w:rPr>
          <w:lang w:eastAsia="en-US"/>
        </w:rPr>
        <w:t xml:space="preserve">w wysokości </w:t>
      </w:r>
      <w:r w:rsidRPr="001E0052">
        <w:rPr>
          <w:lang w:eastAsia="en-US"/>
        </w:rPr>
        <w:t xml:space="preserve">co najmniej 5% kwoty </w:t>
      </w:r>
      <w:r>
        <w:rPr>
          <w:lang w:eastAsia="en-US"/>
        </w:rPr>
        <w:t xml:space="preserve">jednolitej płatności obszarowej </w:t>
      </w:r>
      <w:r w:rsidRPr="001E0052">
        <w:rPr>
          <w:lang w:eastAsia="en-US"/>
        </w:rPr>
        <w:t>powyżej 150 tys. euro</w:t>
      </w:r>
      <w:r>
        <w:rPr>
          <w:lang w:eastAsia="en-US"/>
        </w:rPr>
        <w:t xml:space="preserve"> i przeniesienie tych środków na działania realizowane </w:t>
      </w:r>
      <w:r>
        <w:rPr>
          <w:lang w:eastAsia="en-US"/>
        </w:rPr>
        <w:br/>
        <w:t>w ramach II filaru WPR</w:t>
      </w:r>
      <w:r w:rsidRPr="001E0052">
        <w:rPr>
          <w:lang w:eastAsia="en-US"/>
        </w:rPr>
        <w:t>. Państwo członkowskie może zdecydować, że redukowana kwota płatności będzie obliczana po uwzględnieniu kosztów zatrudnienia ponoszonych przez rolnika. Można  zdecydować o niestosowaniu redukcji w przypadku wprowadzen</w:t>
      </w:r>
      <w:r>
        <w:rPr>
          <w:lang w:eastAsia="en-US"/>
        </w:rPr>
        <w:t xml:space="preserve">ia płatności redystrybucyjnej i </w:t>
      </w:r>
      <w:r w:rsidRPr="001E0052">
        <w:rPr>
          <w:lang w:eastAsia="en-US"/>
        </w:rPr>
        <w:t>wykorzystania na ten cel powyżej 5% koperty krajowej.</w:t>
      </w:r>
    </w:p>
    <w:p w:rsidR="00D72B4D" w:rsidRDefault="00D72B4D" w:rsidP="00FF7110">
      <w:pPr>
        <w:pStyle w:val="Akapitzlist"/>
        <w:spacing w:before="0" w:after="0" w:line="276" w:lineRule="auto"/>
      </w:pPr>
    </w:p>
    <w:p w:rsidR="00D72B4D" w:rsidRPr="00513E93" w:rsidRDefault="00D72B4D" w:rsidP="00E971D6">
      <w:pPr>
        <w:pStyle w:val="Akapitzlist"/>
        <w:tabs>
          <w:tab w:val="left" w:pos="426"/>
        </w:tabs>
        <w:spacing w:before="0" w:after="0" w:line="276" w:lineRule="auto"/>
        <w:ind w:left="0"/>
        <w:rPr>
          <w:b/>
          <w:sz w:val="28"/>
        </w:rPr>
      </w:pPr>
      <w:r w:rsidRPr="00513E93">
        <w:rPr>
          <w:b/>
          <w:sz w:val="28"/>
        </w:rPr>
        <w:t>III.</w:t>
      </w:r>
      <w:r w:rsidRPr="00513E93">
        <w:rPr>
          <w:b/>
          <w:sz w:val="28"/>
        </w:rPr>
        <w:tab/>
      </w:r>
      <w:r w:rsidR="00F52247">
        <w:rPr>
          <w:b/>
          <w:sz w:val="28"/>
        </w:rPr>
        <w:t xml:space="preserve"> </w:t>
      </w:r>
      <w:r w:rsidRPr="00513E93">
        <w:rPr>
          <w:b/>
          <w:sz w:val="28"/>
        </w:rPr>
        <w:t>Program rolnośrodowiskowy w 2014 r.</w:t>
      </w:r>
    </w:p>
    <w:p w:rsidR="000E002F" w:rsidRDefault="00D72B4D" w:rsidP="00E971D6">
      <w:pPr>
        <w:spacing w:before="120" w:line="276" w:lineRule="auto"/>
        <w:jc w:val="both"/>
      </w:pPr>
      <w:r w:rsidRPr="00617A41">
        <w:t>W 2014</w:t>
      </w:r>
      <w:r w:rsidRPr="006660F1">
        <w:t xml:space="preserve"> </w:t>
      </w:r>
      <w:r w:rsidRPr="00617A41">
        <w:t>r</w:t>
      </w:r>
      <w:r>
        <w:t xml:space="preserve">. </w:t>
      </w:r>
      <w:r w:rsidR="000E002F">
        <w:t>kontynuowane będzie w</w:t>
      </w:r>
      <w:r w:rsidR="00F52247">
        <w:t>sparcie w ramach programu rolno</w:t>
      </w:r>
      <w:r w:rsidR="000E002F">
        <w:t xml:space="preserve">środowiskowego w ramach PROW 207-2013. Przyjmowane będą tzw. wnioski kontynuacyjne </w:t>
      </w:r>
      <w:r w:rsidR="005449A1">
        <w:t xml:space="preserve">na obecnych zasadach </w:t>
      </w:r>
      <w:r w:rsidR="000E002F">
        <w:t xml:space="preserve">(potencjalnie ok. </w:t>
      </w:r>
      <w:r w:rsidR="00473C5D">
        <w:t>108 tys.</w:t>
      </w:r>
      <w:r w:rsidR="000E002F">
        <w:t xml:space="preserve"> wniosków) oraz zostanie przeprowadzony nabór nowych wniosków na zmienionych zasadach.</w:t>
      </w:r>
    </w:p>
    <w:p w:rsidR="00D72B4D" w:rsidRDefault="000E002F" w:rsidP="000E002F">
      <w:pPr>
        <w:spacing w:before="120" w:line="276" w:lineRule="auto"/>
        <w:jc w:val="both"/>
      </w:pPr>
      <w:r>
        <w:t xml:space="preserve">W odniesieniu do nowych wniosków składanych w 2014 r. </w:t>
      </w:r>
      <w:r w:rsidR="00D72B4D">
        <w:t xml:space="preserve">planuje się </w:t>
      </w:r>
      <w:r>
        <w:t>następujące zmiany:</w:t>
      </w:r>
    </w:p>
    <w:p w:rsidR="00D72B4D" w:rsidRPr="00617A41" w:rsidRDefault="000E002F" w:rsidP="00E971D6">
      <w:pPr>
        <w:numPr>
          <w:ilvl w:val="0"/>
          <w:numId w:val="31"/>
        </w:numPr>
        <w:tabs>
          <w:tab w:val="clear" w:pos="1080"/>
        </w:tabs>
        <w:spacing w:before="120" w:line="276" w:lineRule="auto"/>
        <w:ind w:left="426" w:hanging="426"/>
        <w:jc w:val="both"/>
      </w:pPr>
      <w:r>
        <w:t>Z</w:t>
      </w:r>
      <w:r w:rsidR="00D72B4D">
        <w:t>astosowanie</w:t>
      </w:r>
      <w:r w:rsidR="00D72B4D" w:rsidRPr="00617A41">
        <w:t xml:space="preserve"> degresywności oraz limitu powierzchni wspieranej:</w:t>
      </w:r>
    </w:p>
    <w:p w:rsidR="00D72B4D" w:rsidRPr="00617A41" w:rsidRDefault="00D72B4D" w:rsidP="00E971D6">
      <w:pPr>
        <w:pStyle w:val="Akapitzlist"/>
        <w:numPr>
          <w:ilvl w:val="0"/>
          <w:numId w:val="28"/>
        </w:numPr>
        <w:tabs>
          <w:tab w:val="left" w:pos="851"/>
        </w:tabs>
        <w:spacing w:before="120" w:after="0" w:line="276" w:lineRule="auto"/>
        <w:ind w:left="851" w:hanging="426"/>
        <w:contextualSpacing w:val="0"/>
      </w:pPr>
      <w:r w:rsidRPr="00617A41">
        <w:t>w przypadku pakietu 1. Rolnictwo zrównoważone, płatność rolnośrodowiskowa będzie przyznawana w wysokości 100%</w:t>
      </w:r>
      <w:r w:rsidRPr="00617A41">
        <w:rPr>
          <w:color w:val="000000"/>
        </w:rPr>
        <w:t xml:space="preserve"> za powierzchnię </w:t>
      </w:r>
      <w:r w:rsidRPr="00617A41">
        <w:t xml:space="preserve">od </w:t>
      </w:r>
      <w:smartTag w:uri="urn:schemas-microsoft-com:office:smarttags" w:element="metricconverter">
        <w:smartTagPr>
          <w:attr w:name="ProductID" w:val="0,1 ha"/>
        </w:smartTagPr>
        <w:r w:rsidRPr="00617A41">
          <w:t>0,1 ha</w:t>
        </w:r>
      </w:smartTag>
      <w:r w:rsidRPr="00617A41">
        <w:t xml:space="preserve"> do </w:t>
      </w:r>
      <w:smartTag w:uri="urn:schemas-microsoft-com:office:smarttags" w:element="metricconverter">
        <w:smartTagPr>
          <w:attr w:name="ProductID" w:val="20 ha"/>
        </w:smartTagPr>
        <w:r w:rsidRPr="00617A41">
          <w:t>20 ha</w:t>
        </w:r>
      </w:smartTag>
      <w:r w:rsidRPr="00617A41">
        <w:t>;</w:t>
      </w:r>
    </w:p>
    <w:p w:rsidR="00D72B4D" w:rsidRPr="00617A41" w:rsidRDefault="00D72B4D" w:rsidP="00E971D6">
      <w:pPr>
        <w:pStyle w:val="Akapitzlist"/>
        <w:numPr>
          <w:ilvl w:val="0"/>
          <w:numId w:val="28"/>
        </w:numPr>
        <w:tabs>
          <w:tab w:val="left" w:pos="851"/>
        </w:tabs>
        <w:spacing w:before="120" w:after="0" w:line="276" w:lineRule="auto"/>
        <w:ind w:left="851" w:hanging="426"/>
        <w:contextualSpacing w:val="0"/>
      </w:pPr>
      <w:r w:rsidRPr="00617A41">
        <w:t>w przypadku pakietów przyrodniczych  na obszarach Natura 2000 oraz poza tymi obszarami, jak również w pakiecie 8. Ochronie gleb i wód</w:t>
      </w:r>
      <w:r>
        <w:t>,</w:t>
      </w:r>
      <w:r w:rsidRPr="00617A41">
        <w:t xml:space="preserve"> płatność rolnośrodowiskowa będzie przyznawana w wysokości  100% za powierzchnię</w:t>
      </w:r>
      <w:r>
        <w:t xml:space="preserve"> </w:t>
      </w:r>
      <w:r w:rsidRPr="00617A41">
        <w:t xml:space="preserve">do </w:t>
      </w:r>
      <w:smartTag w:uri="urn:schemas-microsoft-com:office:smarttags" w:element="metricconverter">
        <w:smartTagPr>
          <w:attr w:name="ProductID" w:val="10 ha"/>
        </w:smartTagPr>
        <w:smartTag w:uri="urn:schemas-microsoft-com:office:smarttags" w:element="metricconverter">
          <w:smartTagPr>
            <w:attr w:name="ProductID" w:val="10 ha"/>
          </w:smartTagPr>
          <w:r w:rsidRPr="00617A41">
            <w:t>10 ha</w:t>
          </w:r>
        </w:smartTag>
        <w:r w:rsidRPr="00617A41">
          <w:t xml:space="preserve"> i </w:t>
        </w:r>
      </w:smartTag>
      <w:r w:rsidRPr="00617A41">
        <w:t xml:space="preserve">50% za powierzchnię powyżej </w:t>
      </w:r>
      <w:smartTag w:uri="urn:schemas-microsoft-com:office:smarttags" w:element="metricconverter">
        <w:smartTagPr>
          <w:attr w:name="ProductID" w:val="10,1 ha"/>
        </w:smartTagPr>
        <w:r w:rsidRPr="00617A41">
          <w:t>10,1 ha</w:t>
        </w:r>
      </w:smartTag>
      <w:r w:rsidRPr="00617A41">
        <w:t xml:space="preserve"> do </w:t>
      </w:r>
      <w:smartTag w:uri="urn:schemas-microsoft-com:office:smarttags" w:element="metricconverter">
        <w:smartTagPr>
          <w:attr w:name="ProductID" w:val="20 ha"/>
        </w:smartTagPr>
        <w:r w:rsidRPr="00617A41">
          <w:t>20 ha</w:t>
        </w:r>
      </w:smartTag>
      <w:r w:rsidRPr="00617A41">
        <w:t>;</w:t>
      </w:r>
    </w:p>
    <w:p w:rsidR="00D72B4D" w:rsidRPr="00617A41" w:rsidRDefault="00D72B4D" w:rsidP="00E971D6">
      <w:pPr>
        <w:pStyle w:val="Akapitzlist"/>
        <w:numPr>
          <w:ilvl w:val="0"/>
          <w:numId w:val="28"/>
        </w:numPr>
        <w:tabs>
          <w:tab w:val="left" w:pos="851"/>
        </w:tabs>
        <w:spacing w:before="120" w:after="0" w:line="276" w:lineRule="auto"/>
        <w:ind w:left="851" w:hanging="426"/>
        <w:contextualSpacing w:val="0"/>
      </w:pPr>
      <w:r w:rsidRPr="00617A41">
        <w:t>w przypadku pakietu 2. Rolnictwo ekologiczne:</w:t>
      </w:r>
    </w:p>
    <w:p w:rsidR="00D72B4D" w:rsidRPr="00617A41" w:rsidRDefault="00D72B4D" w:rsidP="00E971D6">
      <w:pPr>
        <w:pStyle w:val="Akapitzlist"/>
        <w:numPr>
          <w:ilvl w:val="1"/>
          <w:numId w:val="28"/>
        </w:numPr>
        <w:tabs>
          <w:tab w:val="clear" w:pos="1800"/>
        </w:tabs>
        <w:suppressAutoHyphens/>
        <w:spacing w:before="120" w:after="0" w:line="276" w:lineRule="auto"/>
        <w:ind w:left="1276" w:hanging="426"/>
        <w:contextualSpacing w:val="0"/>
      </w:pPr>
      <w:r w:rsidRPr="00617A41">
        <w:t>dla upraw rolniczych:</w:t>
      </w:r>
      <w:r w:rsidRPr="00617A41">
        <w:rPr>
          <w:bCs/>
          <w:color w:val="000000"/>
        </w:rPr>
        <w:t xml:space="preserve">  </w:t>
      </w:r>
      <w:r w:rsidRPr="00617A41">
        <w:t>100%</w:t>
      </w:r>
      <w:r w:rsidRPr="00617A41">
        <w:rPr>
          <w:color w:val="000000"/>
        </w:rPr>
        <w:t xml:space="preserve"> za powierzchnię </w:t>
      </w:r>
      <w:r w:rsidRPr="00617A41">
        <w:t>do 20 ha i 50%</w:t>
      </w:r>
      <w:r w:rsidRPr="00617A41">
        <w:rPr>
          <w:color w:val="000000"/>
        </w:rPr>
        <w:t xml:space="preserve"> za powierzchnię </w:t>
      </w:r>
      <w:r w:rsidRPr="00617A41">
        <w:t>od 20,01 do 30 ha;</w:t>
      </w:r>
    </w:p>
    <w:p w:rsidR="00D72B4D" w:rsidRPr="00617A41" w:rsidRDefault="00D72B4D" w:rsidP="00E971D6">
      <w:pPr>
        <w:pStyle w:val="Akapitzlist"/>
        <w:numPr>
          <w:ilvl w:val="1"/>
          <w:numId w:val="28"/>
        </w:numPr>
        <w:tabs>
          <w:tab w:val="clear" w:pos="1800"/>
        </w:tabs>
        <w:suppressAutoHyphens/>
        <w:autoSpaceDE w:val="0"/>
        <w:autoSpaceDN w:val="0"/>
        <w:adjustRightInd w:val="0"/>
        <w:spacing w:before="120" w:after="0" w:line="276" w:lineRule="auto"/>
        <w:ind w:left="1276" w:hanging="426"/>
        <w:contextualSpacing w:val="0"/>
      </w:pPr>
      <w:r w:rsidRPr="00617A41">
        <w:t>dla trwałych użytków zielonych:</w:t>
      </w:r>
      <w:r w:rsidRPr="00617A41">
        <w:rPr>
          <w:bCs/>
          <w:color w:val="000000"/>
        </w:rPr>
        <w:t xml:space="preserve"> </w:t>
      </w:r>
      <w:r w:rsidRPr="00617A41">
        <w:t>100%</w:t>
      </w:r>
      <w:r w:rsidRPr="00617A41">
        <w:rPr>
          <w:color w:val="000000"/>
        </w:rPr>
        <w:t xml:space="preserve"> za powierzchnię </w:t>
      </w:r>
      <w:r w:rsidRPr="00617A41">
        <w:t>do 15 ha;</w:t>
      </w:r>
    </w:p>
    <w:p w:rsidR="00D72B4D" w:rsidRPr="00617A41" w:rsidRDefault="00D72B4D" w:rsidP="00E971D6">
      <w:pPr>
        <w:pStyle w:val="Akapitzlist"/>
        <w:numPr>
          <w:ilvl w:val="1"/>
          <w:numId w:val="28"/>
        </w:numPr>
        <w:tabs>
          <w:tab w:val="clear" w:pos="1800"/>
        </w:tabs>
        <w:suppressAutoHyphens/>
        <w:autoSpaceDE w:val="0"/>
        <w:autoSpaceDN w:val="0"/>
        <w:adjustRightInd w:val="0"/>
        <w:spacing w:before="120" w:after="0" w:line="276" w:lineRule="auto"/>
        <w:ind w:left="1276" w:hanging="426"/>
        <w:contextualSpacing w:val="0"/>
      </w:pPr>
      <w:r w:rsidRPr="00617A41">
        <w:t>dla upraw warzywnych:</w:t>
      </w:r>
      <w:r w:rsidRPr="00617A41">
        <w:rPr>
          <w:bCs/>
          <w:color w:val="000000"/>
        </w:rPr>
        <w:t xml:space="preserve"> </w:t>
      </w:r>
      <w:r w:rsidRPr="00617A41">
        <w:t>100%</w:t>
      </w:r>
      <w:r w:rsidRPr="00617A41">
        <w:rPr>
          <w:color w:val="000000"/>
        </w:rPr>
        <w:t xml:space="preserve"> za powierzchnię </w:t>
      </w:r>
      <w:r w:rsidRPr="00617A41">
        <w:t>do 15 ha i 50%</w:t>
      </w:r>
      <w:r w:rsidRPr="00617A41">
        <w:rPr>
          <w:color w:val="000000"/>
        </w:rPr>
        <w:t xml:space="preserve"> za powierzchnię </w:t>
      </w:r>
      <w:r w:rsidRPr="00617A41">
        <w:t>od 15,01 do 30 ha;</w:t>
      </w:r>
    </w:p>
    <w:p w:rsidR="00D72B4D" w:rsidRPr="00617A41" w:rsidRDefault="00D72B4D" w:rsidP="00E971D6">
      <w:pPr>
        <w:pStyle w:val="Akapitzlist"/>
        <w:numPr>
          <w:ilvl w:val="1"/>
          <w:numId w:val="28"/>
        </w:numPr>
        <w:tabs>
          <w:tab w:val="clear" w:pos="1800"/>
        </w:tabs>
        <w:suppressAutoHyphens/>
        <w:autoSpaceDE w:val="0"/>
        <w:autoSpaceDN w:val="0"/>
        <w:adjustRightInd w:val="0"/>
        <w:spacing w:before="120" w:after="0" w:line="276" w:lineRule="auto"/>
        <w:ind w:left="1276" w:hanging="426"/>
        <w:contextualSpacing w:val="0"/>
      </w:pPr>
      <w:r w:rsidRPr="00617A41">
        <w:t>dla upraw zielarskich</w:t>
      </w:r>
      <w:r w:rsidRPr="00617A41">
        <w:rPr>
          <w:bCs/>
          <w:color w:val="000000"/>
        </w:rPr>
        <w:t>,</w:t>
      </w:r>
      <w:r w:rsidRPr="00617A41">
        <w:t xml:space="preserve"> sadowniczych i jagodowych:</w:t>
      </w:r>
      <w:r w:rsidRPr="00617A41">
        <w:rPr>
          <w:bCs/>
          <w:color w:val="000000"/>
        </w:rPr>
        <w:t xml:space="preserve"> </w:t>
      </w:r>
      <w:r w:rsidRPr="00617A41">
        <w:t>100%</w:t>
      </w:r>
      <w:r w:rsidRPr="00617A41">
        <w:rPr>
          <w:color w:val="000000"/>
        </w:rPr>
        <w:t xml:space="preserve"> za powierzchnię </w:t>
      </w:r>
      <w:r w:rsidRPr="00617A41">
        <w:rPr>
          <w:color w:val="000000"/>
        </w:rPr>
        <w:br/>
      </w:r>
      <w:r w:rsidRPr="00617A41">
        <w:t>do 10 ha.</w:t>
      </w:r>
    </w:p>
    <w:p w:rsidR="00D72B4D" w:rsidRPr="00617A41" w:rsidRDefault="00473C5D" w:rsidP="00E971D6">
      <w:pPr>
        <w:pStyle w:val="Akapitzlist"/>
        <w:spacing w:before="120" w:after="0" w:line="276" w:lineRule="auto"/>
        <w:ind w:left="426" w:hanging="426"/>
        <w:contextualSpacing w:val="0"/>
      </w:pPr>
      <w:r>
        <w:lastRenderedPageBreak/>
        <w:t>2</w:t>
      </w:r>
      <w:r w:rsidR="00D72B4D" w:rsidRPr="00617A41">
        <w:t>. W odniesieniu do Pakietu Rolnictwo ekologiczne proponuje się:</w:t>
      </w:r>
    </w:p>
    <w:p w:rsidR="00D72B4D" w:rsidRDefault="00D72B4D" w:rsidP="00E971D6">
      <w:pPr>
        <w:numPr>
          <w:ilvl w:val="0"/>
          <w:numId w:val="30"/>
        </w:numPr>
        <w:spacing w:before="120" w:line="276" w:lineRule="auto"/>
        <w:jc w:val="both"/>
      </w:pPr>
      <w:r w:rsidRPr="00617A41">
        <w:t>wprowadzenie warunku produkcji zarówno w okresie przestawiania gospodarstwa na metody ekologiczne</w:t>
      </w:r>
      <w:r w:rsidR="005449A1">
        <w:t>,</w:t>
      </w:r>
      <w:r w:rsidRPr="00617A41">
        <w:t xml:space="preserve"> jak i po tym okresie. </w:t>
      </w:r>
    </w:p>
    <w:p w:rsidR="00D72B4D" w:rsidRPr="00617A41" w:rsidRDefault="00D72B4D" w:rsidP="00E971D6">
      <w:pPr>
        <w:numPr>
          <w:ilvl w:val="0"/>
          <w:numId w:val="30"/>
        </w:numPr>
        <w:spacing w:before="120" w:line="276" w:lineRule="auto"/>
        <w:jc w:val="both"/>
      </w:pPr>
      <w:r w:rsidRPr="00617A41">
        <w:t xml:space="preserve">objęcie wymogiem wprowadzenia do obrotu co najmniej 50% produkcji ekologicznej </w:t>
      </w:r>
      <w:r w:rsidRPr="00617A41">
        <w:br/>
        <w:t xml:space="preserve">lub w okresie przestawiania, udokumentowanego fakturami lub innymi dokumentami. </w:t>
      </w:r>
      <w:r w:rsidRPr="00617A41">
        <w:br/>
      </w:r>
    </w:p>
    <w:p w:rsidR="00D72B4D" w:rsidRPr="00617A41" w:rsidRDefault="00D72B4D" w:rsidP="00E971D6">
      <w:pPr>
        <w:pStyle w:val="Akapitzlist"/>
        <w:spacing w:before="120" w:after="0" w:line="276" w:lineRule="auto"/>
        <w:ind w:left="0"/>
        <w:contextualSpacing w:val="0"/>
      </w:pPr>
      <w:r w:rsidRPr="00617A41">
        <w:t xml:space="preserve">Dodatkowo, w przypadku upraw sadowniczych proponuje się: </w:t>
      </w:r>
    </w:p>
    <w:p w:rsidR="00D72B4D" w:rsidRDefault="00D72B4D" w:rsidP="00E971D6">
      <w:pPr>
        <w:numPr>
          <w:ilvl w:val="0"/>
          <w:numId w:val="32"/>
        </w:numPr>
        <w:spacing w:before="120" w:line="276" w:lineRule="auto"/>
        <w:jc w:val="both"/>
      </w:pPr>
      <w:r w:rsidRPr="00617A41">
        <w:t>weryfikację minimalnej obsady dla drzew i krzewów owocowych, np. dla jabłoni proponuje się minimalną obsadę 800 szt./ha. Jednocześnie proponuje się uwzględnienie istniejącej</w:t>
      </w:r>
      <w:r>
        <w:t xml:space="preserve"> </w:t>
      </w:r>
      <w:r w:rsidRPr="00617A41">
        <w:t>obsady w przypadku „starych sadów” prowadzonych na podkładkach wegetatywnych silnie lub bardzo silnie rosnących,</w:t>
      </w:r>
    </w:p>
    <w:p w:rsidR="00D72B4D" w:rsidRPr="00617A41" w:rsidRDefault="00D72B4D" w:rsidP="00E971D6">
      <w:pPr>
        <w:numPr>
          <w:ilvl w:val="0"/>
          <w:numId w:val="32"/>
        </w:numPr>
        <w:spacing w:before="120" w:line="276" w:lineRule="auto"/>
        <w:jc w:val="both"/>
      </w:pPr>
      <w:r w:rsidRPr="00617A41">
        <w:t>wprowadzenie warunku owocowania upraw sadowniczych,</w:t>
      </w:r>
    </w:p>
    <w:p w:rsidR="00D72B4D" w:rsidRPr="00617A41" w:rsidRDefault="00D72B4D" w:rsidP="00E971D6">
      <w:pPr>
        <w:numPr>
          <w:ilvl w:val="0"/>
          <w:numId w:val="32"/>
        </w:numPr>
        <w:spacing w:before="120" w:line="276" w:lineRule="auto"/>
        <w:jc w:val="both"/>
      </w:pPr>
      <w:r w:rsidRPr="00617A41">
        <w:t>obowiązek utrzymania sadu (wraz z minimalna obsadą) przez 2 l</w:t>
      </w:r>
      <w:r>
        <w:t>ata po zakończeniu zobowiązania</w:t>
      </w:r>
      <w:r w:rsidRPr="00617A41">
        <w:t>,</w:t>
      </w:r>
    </w:p>
    <w:p w:rsidR="00D72B4D" w:rsidRPr="00617A41" w:rsidRDefault="00D72B4D" w:rsidP="00E971D6">
      <w:pPr>
        <w:numPr>
          <w:ilvl w:val="0"/>
          <w:numId w:val="32"/>
        </w:numPr>
        <w:spacing w:before="120" w:line="276" w:lineRule="auto"/>
        <w:jc w:val="both"/>
      </w:pPr>
      <w:r w:rsidRPr="00617A41">
        <w:t xml:space="preserve">uznawanie za działanie siły wyższej szkód wyrządzanych przez zwierzynę dziką </w:t>
      </w:r>
      <w:r w:rsidRPr="00617A41">
        <w:br/>
        <w:t xml:space="preserve">w przypadku stosowania zabezpieczeń przed żerowaniem zwierzyny dzikiej. Jako zabezpieczenia uznaje się: grodzenia sadów, stosowanie repelentów, stosowanie trzech palików, owczej wełny. </w:t>
      </w:r>
    </w:p>
    <w:p w:rsidR="00D72B4D" w:rsidRPr="00452FD2" w:rsidRDefault="00D72B4D" w:rsidP="00E971D6">
      <w:pPr>
        <w:spacing w:before="120" w:line="276" w:lineRule="auto"/>
        <w:jc w:val="both"/>
      </w:pPr>
      <w:r w:rsidRPr="00452FD2">
        <w:t xml:space="preserve">W przypadku płatności do </w:t>
      </w:r>
      <w:r w:rsidR="005449A1">
        <w:t xml:space="preserve">trwałych użytków zielonych </w:t>
      </w:r>
      <w:r>
        <w:t xml:space="preserve">w rolnictwie ekologicznym, planuje się </w:t>
      </w:r>
      <w:r w:rsidRPr="00452FD2">
        <w:t>wprowadz</w:t>
      </w:r>
      <w:r>
        <w:t>enie</w:t>
      </w:r>
      <w:r w:rsidRPr="00452FD2">
        <w:t xml:space="preserve"> obowiązk</w:t>
      </w:r>
      <w:r>
        <w:t>u</w:t>
      </w:r>
      <w:r w:rsidRPr="00452FD2">
        <w:t xml:space="preserve"> posiadania zwierząt utrzymywanych ekologicznie (tj.</w:t>
      </w:r>
      <w:r w:rsidR="00F52247">
        <w:t>:</w:t>
      </w:r>
      <w:bookmarkStart w:id="0" w:name="_GoBack"/>
      <w:bookmarkEnd w:id="0"/>
      <w:r w:rsidRPr="00452FD2">
        <w:t xml:space="preserve"> bydła, owiec, koni i kóz), </w:t>
      </w:r>
      <w:r w:rsidR="005449A1">
        <w:t xml:space="preserve"> </w:t>
      </w:r>
      <w:r w:rsidRPr="00452FD2">
        <w:t>tzn. w sposób zgodny z przepisami o rolnictwie ekologicznym.</w:t>
      </w:r>
    </w:p>
    <w:p w:rsidR="00D72B4D" w:rsidRDefault="00D72B4D" w:rsidP="00FF7110">
      <w:pPr>
        <w:spacing w:line="276" w:lineRule="auto"/>
        <w:contextualSpacing/>
        <w:jc w:val="both"/>
        <w:rPr>
          <w:bCs/>
        </w:rPr>
      </w:pPr>
    </w:p>
    <w:p w:rsidR="00D72B4D" w:rsidRDefault="00D72B4D" w:rsidP="00FF7110">
      <w:pPr>
        <w:spacing w:line="276" w:lineRule="auto"/>
        <w:contextualSpacing/>
        <w:jc w:val="both"/>
        <w:rPr>
          <w:bCs/>
        </w:rPr>
      </w:pPr>
    </w:p>
    <w:p w:rsidR="00D72B4D" w:rsidRDefault="00D72B4D" w:rsidP="001C3731">
      <w:pPr>
        <w:jc w:val="both"/>
        <w:rPr>
          <w:bCs/>
        </w:rPr>
      </w:pPr>
    </w:p>
    <w:p w:rsidR="00D72B4D" w:rsidRDefault="00D72B4D" w:rsidP="001C3731">
      <w:pPr>
        <w:jc w:val="both"/>
        <w:rPr>
          <w:bCs/>
        </w:rPr>
        <w:sectPr w:rsidR="00D72B4D" w:rsidSect="00112BDD">
          <w:footerReference w:type="even" r:id="rId8"/>
          <w:footerReference w:type="default" r:id="rId9"/>
          <w:pgSz w:w="11906" w:h="16838" w:code="9"/>
          <w:pgMar w:top="1247" w:right="1247" w:bottom="1247" w:left="1247" w:header="709" w:footer="709" w:gutter="0"/>
          <w:cols w:space="708"/>
          <w:titlePg/>
          <w:docGrid w:linePitch="326"/>
        </w:sectPr>
      </w:pPr>
    </w:p>
    <w:p w:rsidR="00D72B4D" w:rsidRDefault="00D72B4D" w:rsidP="001C3731">
      <w:pPr>
        <w:jc w:val="both"/>
        <w:rPr>
          <w:bCs/>
        </w:rPr>
      </w:pPr>
      <w:r w:rsidRPr="001E0052">
        <w:rPr>
          <w:b/>
          <w:bCs/>
        </w:rPr>
        <w:lastRenderedPageBreak/>
        <w:t>Tabela.</w:t>
      </w:r>
      <w:r>
        <w:rPr>
          <w:bCs/>
        </w:rPr>
        <w:t xml:space="preserve"> Maksymalna wysokość środków unijnych </w:t>
      </w:r>
      <w:r w:rsidR="00FE0E7A">
        <w:rPr>
          <w:bCs/>
        </w:rPr>
        <w:t xml:space="preserve">dla Polski </w:t>
      </w:r>
      <w:r>
        <w:rPr>
          <w:bCs/>
        </w:rPr>
        <w:t>na płatności bezpośrednie w latach 2015 – 2020, w podziale na poszczególne płatności.</w:t>
      </w:r>
    </w:p>
    <w:p w:rsidR="00D72B4D" w:rsidRDefault="00D72B4D" w:rsidP="001C3731">
      <w:pPr>
        <w:jc w:val="both"/>
        <w:rPr>
          <w:bCs/>
        </w:rPr>
      </w:pPr>
    </w:p>
    <w:tbl>
      <w:tblPr>
        <w:tblW w:w="14190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8"/>
        <w:gridCol w:w="1843"/>
        <w:gridCol w:w="1058"/>
        <w:gridCol w:w="1059"/>
        <w:gridCol w:w="1058"/>
        <w:gridCol w:w="1059"/>
        <w:gridCol w:w="1058"/>
        <w:gridCol w:w="1059"/>
        <w:gridCol w:w="1728"/>
      </w:tblGrid>
      <w:tr w:rsidR="00D72B4D" w:rsidTr="00793D77">
        <w:trPr>
          <w:trHeight w:val="425"/>
        </w:trPr>
        <w:tc>
          <w:tcPr>
            <w:tcW w:w="4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2B4D" w:rsidRDefault="00D72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72B4D" w:rsidRPr="00793D77" w:rsidRDefault="00D72B4D">
            <w:pPr>
              <w:jc w:val="center"/>
            </w:pPr>
            <w:r>
              <w:t>u</w:t>
            </w:r>
            <w:r w:rsidRPr="00793D77">
              <w:t xml:space="preserve">dział </w:t>
            </w:r>
            <w:r>
              <w:br/>
            </w:r>
            <w:r w:rsidRPr="00793D77">
              <w:t>w kopercie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center"/>
              <w:rPr>
                <w:b/>
                <w:bCs/>
              </w:rPr>
            </w:pPr>
            <w:r w:rsidRPr="00793D77">
              <w:rPr>
                <w:b/>
                <w:bCs/>
              </w:rPr>
              <w:t>2015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center"/>
              <w:rPr>
                <w:b/>
                <w:bCs/>
              </w:rPr>
            </w:pPr>
            <w:r w:rsidRPr="00793D77">
              <w:rPr>
                <w:b/>
                <w:bCs/>
              </w:rPr>
              <w:t>2016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center"/>
              <w:rPr>
                <w:b/>
                <w:bCs/>
              </w:rPr>
            </w:pPr>
            <w:r w:rsidRPr="00793D77">
              <w:rPr>
                <w:b/>
                <w:bCs/>
              </w:rPr>
              <w:t>2017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center"/>
              <w:rPr>
                <w:b/>
                <w:bCs/>
              </w:rPr>
            </w:pPr>
            <w:r w:rsidRPr="00793D77">
              <w:rPr>
                <w:b/>
                <w:bCs/>
              </w:rPr>
              <w:t>2018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center"/>
              <w:rPr>
                <w:b/>
                <w:bCs/>
              </w:rPr>
            </w:pPr>
            <w:r w:rsidRPr="00793D77">
              <w:rPr>
                <w:b/>
                <w:bCs/>
              </w:rPr>
              <w:t>2019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2B4D" w:rsidRPr="00793D77" w:rsidRDefault="00D72B4D">
            <w:pPr>
              <w:jc w:val="center"/>
              <w:rPr>
                <w:b/>
                <w:bCs/>
              </w:rPr>
            </w:pPr>
            <w:r w:rsidRPr="00793D77">
              <w:rPr>
                <w:b/>
                <w:bCs/>
              </w:rPr>
              <w:t>2020</w:t>
            </w:r>
          </w:p>
        </w:tc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2B4D" w:rsidRPr="00793D77" w:rsidRDefault="00D72B4D">
            <w:pPr>
              <w:jc w:val="center"/>
              <w:rPr>
                <w:b/>
                <w:bCs/>
              </w:rPr>
            </w:pPr>
            <w:r w:rsidRPr="00793D77">
              <w:rPr>
                <w:b/>
                <w:bCs/>
              </w:rPr>
              <w:t xml:space="preserve">Razem </w:t>
            </w:r>
            <w:r w:rsidRPr="00793D77">
              <w:rPr>
                <w:b/>
                <w:bCs/>
              </w:rPr>
              <w:br/>
              <w:t>2015-2020</w:t>
            </w:r>
            <w:r w:rsidRPr="00793D77">
              <w:rPr>
                <w:b/>
                <w:bCs/>
              </w:rPr>
              <w:br/>
            </w:r>
            <w:r w:rsidRPr="00793D77">
              <w:rPr>
                <w:bCs/>
              </w:rPr>
              <w:t>(</w:t>
            </w:r>
            <w:r w:rsidRPr="00793D77">
              <w:rPr>
                <w:i/>
                <w:iCs/>
              </w:rPr>
              <w:t>mln EUR)</w:t>
            </w:r>
          </w:p>
        </w:tc>
      </w:tr>
      <w:tr w:rsidR="00D72B4D" w:rsidTr="00793D77">
        <w:trPr>
          <w:trHeight w:val="403"/>
        </w:trPr>
        <w:tc>
          <w:tcPr>
            <w:tcW w:w="4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2B4D" w:rsidRDefault="00D72B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72B4D" w:rsidRPr="00793D77" w:rsidRDefault="00D72B4D"/>
        </w:tc>
        <w:tc>
          <w:tcPr>
            <w:tcW w:w="635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D72B4D" w:rsidRPr="00793D77" w:rsidRDefault="00D72B4D">
            <w:pPr>
              <w:jc w:val="center"/>
              <w:rPr>
                <w:i/>
                <w:iCs/>
              </w:rPr>
            </w:pPr>
            <w:r w:rsidRPr="00793D77">
              <w:rPr>
                <w:i/>
                <w:iCs/>
              </w:rPr>
              <w:t>mln EUR</w:t>
            </w:r>
          </w:p>
        </w:tc>
        <w:tc>
          <w:tcPr>
            <w:tcW w:w="1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2B4D" w:rsidRPr="00793D77" w:rsidRDefault="00D72B4D">
            <w:pPr>
              <w:rPr>
                <w:b/>
                <w:bCs/>
              </w:rPr>
            </w:pPr>
          </w:p>
        </w:tc>
      </w:tr>
      <w:tr w:rsidR="00D72B4D" w:rsidTr="00793D77">
        <w:trPr>
          <w:trHeight w:val="873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>
            <w:pPr>
              <w:rPr>
                <w:b/>
              </w:rPr>
            </w:pPr>
            <w:r w:rsidRPr="00793D77">
              <w:rPr>
                <w:b/>
              </w:rPr>
              <w:t>Całkowita koperta finansowa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 w:rsidP="00FE0E7A">
            <w:pPr>
              <w:jc w:val="center"/>
              <w:rPr>
                <w:b/>
              </w:rPr>
            </w:pPr>
            <w:r w:rsidRPr="00793D77">
              <w:rPr>
                <w:b/>
              </w:rPr>
              <w:t>100%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>
            <w:pPr>
              <w:jc w:val="right"/>
              <w:rPr>
                <w:b/>
              </w:rPr>
            </w:pPr>
            <w:r w:rsidRPr="00793D77">
              <w:rPr>
                <w:b/>
              </w:rPr>
              <w:t>3 379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>
            <w:pPr>
              <w:jc w:val="right"/>
              <w:rPr>
                <w:b/>
              </w:rPr>
            </w:pPr>
            <w:r w:rsidRPr="00793D77">
              <w:rPr>
                <w:b/>
              </w:rPr>
              <w:t>3 395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>
            <w:pPr>
              <w:jc w:val="right"/>
              <w:rPr>
                <w:b/>
              </w:rPr>
            </w:pPr>
            <w:r w:rsidRPr="00793D77">
              <w:rPr>
                <w:b/>
              </w:rPr>
              <w:t>3 412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>
            <w:pPr>
              <w:jc w:val="right"/>
              <w:rPr>
                <w:b/>
              </w:rPr>
            </w:pPr>
            <w:r w:rsidRPr="00793D77">
              <w:rPr>
                <w:b/>
              </w:rPr>
              <w:t>3 431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>
            <w:pPr>
              <w:jc w:val="right"/>
              <w:rPr>
                <w:b/>
              </w:rPr>
            </w:pPr>
            <w:r w:rsidRPr="00793D77">
              <w:rPr>
                <w:b/>
              </w:rPr>
              <w:t>3 451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>
            <w:pPr>
              <w:jc w:val="right"/>
              <w:rPr>
                <w:b/>
              </w:rPr>
            </w:pPr>
            <w:r w:rsidRPr="00793D77">
              <w:rPr>
                <w:b/>
              </w:rPr>
              <w:t>3 062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 w:rsidP="00FE0E7A">
            <w:pPr>
              <w:jc w:val="right"/>
              <w:rPr>
                <w:b/>
              </w:rPr>
            </w:pPr>
            <w:r w:rsidRPr="00793D77">
              <w:rPr>
                <w:b/>
              </w:rPr>
              <w:t>20 1</w:t>
            </w:r>
            <w:r w:rsidR="00FE0E7A">
              <w:rPr>
                <w:b/>
              </w:rPr>
              <w:t>30</w:t>
            </w:r>
          </w:p>
        </w:tc>
      </w:tr>
      <w:tr w:rsidR="00D72B4D" w:rsidTr="00793D77">
        <w:trPr>
          <w:trHeight w:val="531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>
            <w:r w:rsidRPr="00793D77">
              <w:t>Jednolita Płatność Obszarowa (JPO)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2B4D" w:rsidRPr="00793D77" w:rsidRDefault="00D72B4D" w:rsidP="00FE0E7A">
            <w:pPr>
              <w:jc w:val="center"/>
            </w:pPr>
            <w:r w:rsidRPr="00793D77">
              <w:t>53%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1 791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1 800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1 808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1 819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1 829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1 623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 w:rsidP="00FE0E7A">
            <w:pPr>
              <w:jc w:val="right"/>
            </w:pPr>
            <w:r w:rsidRPr="00793D77">
              <w:t xml:space="preserve">10 </w:t>
            </w:r>
            <w:r w:rsidR="00FE0E7A">
              <w:t>670</w:t>
            </w:r>
          </w:p>
        </w:tc>
      </w:tr>
      <w:tr w:rsidR="00D72B4D" w:rsidTr="00793D77">
        <w:trPr>
          <w:trHeight w:val="531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>
            <w:r w:rsidRPr="00793D77">
              <w:t>Płatność zielona (ang.</w:t>
            </w:r>
            <w:r w:rsidRPr="00793D77">
              <w:rPr>
                <w:i/>
                <w:iCs/>
              </w:rPr>
              <w:t xml:space="preserve"> </w:t>
            </w:r>
            <w:proofErr w:type="spellStart"/>
            <w:r w:rsidRPr="00793D77">
              <w:rPr>
                <w:i/>
                <w:iCs/>
              </w:rPr>
              <w:t>greening</w:t>
            </w:r>
            <w:proofErr w:type="spellEnd"/>
            <w:r w:rsidRPr="00793D77"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2B4D" w:rsidRPr="00793D77" w:rsidRDefault="00D72B4D" w:rsidP="00FE0E7A">
            <w:pPr>
              <w:jc w:val="center"/>
            </w:pPr>
            <w:r w:rsidRPr="00793D77">
              <w:t>30%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1 014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1 019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1 024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1 029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1 035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918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6 039</w:t>
            </w:r>
          </w:p>
        </w:tc>
      </w:tr>
      <w:tr w:rsidR="00D72B4D" w:rsidTr="00793D77">
        <w:trPr>
          <w:trHeight w:val="531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>
            <w:r w:rsidRPr="00793D77">
              <w:t>Płatność związana z produkcją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2B4D" w:rsidRPr="00793D77" w:rsidRDefault="00D72B4D" w:rsidP="00FE0E7A">
            <w:pPr>
              <w:jc w:val="center"/>
            </w:pPr>
            <w:r w:rsidRPr="00793D77">
              <w:t>15%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507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509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512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515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518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459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 w:rsidP="00FE0E7A">
            <w:pPr>
              <w:jc w:val="right"/>
            </w:pPr>
            <w:r w:rsidRPr="00793D77">
              <w:t>3 0</w:t>
            </w:r>
            <w:r w:rsidR="00FE0E7A">
              <w:t>20</w:t>
            </w:r>
          </w:p>
        </w:tc>
      </w:tr>
      <w:tr w:rsidR="00D72B4D" w:rsidTr="00793D77">
        <w:trPr>
          <w:trHeight w:val="531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>
            <w:r w:rsidRPr="00793D77">
              <w:t>Płatność dla małych gospodarstw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2B4D" w:rsidRPr="00793D77" w:rsidRDefault="00D72B4D" w:rsidP="00FE0E7A">
            <w:pPr>
              <w:jc w:val="center"/>
            </w:pPr>
            <w:r w:rsidRPr="00793D77">
              <w:t>10%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338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340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341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343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345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306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2 013</w:t>
            </w:r>
          </w:p>
        </w:tc>
      </w:tr>
      <w:tr w:rsidR="00D72B4D" w:rsidTr="00FE0E7A">
        <w:trPr>
          <w:trHeight w:val="531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>
            <w:r w:rsidRPr="00793D77">
              <w:t>Płatność dla młodych rolników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2B4D" w:rsidRPr="00793D77" w:rsidRDefault="00D72B4D" w:rsidP="00FE0E7A">
            <w:pPr>
              <w:jc w:val="center"/>
            </w:pPr>
            <w:r w:rsidRPr="00793D77">
              <w:t>2%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68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68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69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61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</w:tcPr>
          <w:p w:rsidR="00D72B4D" w:rsidRPr="00793D77" w:rsidRDefault="00D72B4D">
            <w:pPr>
              <w:jc w:val="right"/>
            </w:pPr>
            <w:r w:rsidRPr="00793D77">
              <w:t>403</w:t>
            </w:r>
          </w:p>
        </w:tc>
      </w:tr>
    </w:tbl>
    <w:p w:rsidR="00D72B4D" w:rsidRPr="00F41153" w:rsidRDefault="00D72B4D" w:rsidP="001C3731">
      <w:pPr>
        <w:jc w:val="both"/>
        <w:rPr>
          <w:bCs/>
        </w:rPr>
      </w:pPr>
    </w:p>
    <w:sectPr w:rsidR="00D72B4D" w:rsidRPr="00F41153" w:rsidSect="001E0052">
      <w:pgSz w:w="16838" w:h="11906" w:orient="landscape" w:code="9"/>
      <w:pgMar w:top="1247" w:right="1247" w:bottom="1247" w:left="124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66F" w:rsidRDefault="004D666F">
      <w:r>
        <w:separator/>
      </w:r>
    </w:p>
  </w:endnote>
  <w:endnote w:type="continuationSeparator" w:id="0">
    <w:p w:rsidR="004D666F" w:rsidRDefault="004D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4D" w:rsidRDefault="00342990" w:rsidP="00D410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72B4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2B4D" w:rsidRDefault="00D72B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4D" w:rsidRDefault="00342990" w:rsidP="00D410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72B4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224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72B4D" w:rsidRDefault="00D72B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66F" w:rsidRDefault="004D666F">
      <w:r>
        <w:separator/>
      </w:r>
    </w:p>
  </w:footnote>
  <w:footnote w:type="continuationSeparator" w:id="0">
    <w:p w:rsidR="004D666F" w:rsidRDefault="004D666F">
      <w:r>
        <w:continuationSeparator/>
      </w:r>
    </w:p>
  </w:footnote>
  <w:footnote w:id="1">
    <w:p w:rsidR="00D72B4D" w:rsidRDefault="00D72B4D" w:rsidP="00B12332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R</w:t>
      </w:r>
      <w:r w:rsidRPr="00E521AF">
        <w:t>ozporządzeni</w:t>
      </w:r>
      <w:r>
        <w:t>e</w:t>
      </w:r>
      <w:r w:rsidRPr="00E521AF">
        <w:t xml:space="preserve"> (UE) nr 1310/2013 Parlamentu Europejskiego i Rady z dnia 17 grudnia 2013 r. </w:t>
      </w:r>
      <w:r>
        <w:rPr>
          <w:i/>
          <w:iCs/>
        </w:rPr>
        <w:t>ustanawiające</w:t>
      </w:r>
      <w:r w:rsidRPr="00E521AF">
        <w:rPr>
          <w:i/>
          <w:iCs/>
        </w:rPr>
        <w:t xml:space="preserve"> niektóre przepisy przejściowe w sprawie wsparcia rozwoju obszarów wiejskich przez Europejski Fundusz Rolny na rzecz Rozwoju Obszarów Wiejs</w:t>
      </w:r>
      <w:r>
        <w:rPr>
          <w:i/>
          <w:iCs/>
        </w:rPr>
        <w:t>kich (EFRROW) oraz zmieniające</w:t>
      </w:r>
      <w:r w:rsidRPr="00E521AF">
        <w:rPr>
          <w:i/>
          <w:iCs/>
        </w:rPr>
        <w:t xml:space="preserve"> rozporządzenie (UE) nr 1305/2013 Parlamentu Europejskiego i Rady w zakresie środków i ich rozdziału w odniesieniu do ro</w:t>
      </w:r>
      <w:r>
        <w:rPr>
          <w:i/>
          <w:iCs/>
        </w:rPr>
        <w:t xml:space="preserve">ku </w:t>
      </w:r>
      <w:smartTag w:uri="urn:schemas-microsoft-com:office:smarttags" w:element="metricconverter">
        <w:smartTagPr>
          <w:attr w:name="ProductID" w:val="2014, a"/>
        </w:smartTagPr>
        <w:r>
          <w:rPr>
            <w:i/>
            <w:iCs/>
          </w:rPr>
          <w:t>2014, a</w:t>
        </w:r>
      </w:smartTag>
      <w:r>
        <w:rPr>
          <w:i/>
          <w:iCs/>
        </w:rPr>
        <w:t xml:space="preserve"> także zmieniające</w:t>
      </w:r>
      <w:r w:rsidRPr="00E521AF">
        <w:rPr>
          <w:i/>
          <w:iCs/>
        </w:rPr>
        <w:t xml:space="preserve"> rozporządzenie Rady (WE) nr 73/2009 oraz rozporządzenia (UE) nr 1307/2013, (UE) nr 1306/2013 </w:t>
      </w:r>
      <w:r>
        <w:rPr>
          <w:i/>
          <w:iCs/>
        </w:rPr>
        <w:br/>
      </w:r>
      <w:r w:rsidRPr="00E521AF">
        <w:rPr>
          <w:i/>
          <w:iCs/>
        </w:rPr>
        <w:t xml:space="preserve">i (UE) nr 1308/2013 Parlamentu Europejskiego i Rady w zakresie ich stosowania w roku 2014 </w:t>
      </w:r>
      <w:r w:rsidRPr="00E521AF">
        <w:t>(Dz. Urz. U</w:t>
      </w:r>
      <w:r>
        <w:t xml:space="preserve">E L 347 </w:t>
      </w:r>
      <w:r>
        <w:br/>
        <w:t>z 20.12.2013, str. 865).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5003"/>
    <w:multiLevelType w:val="hybridMultilevel"/>
    <w:tmpl w:val="18A23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436373"/>
    <w:multiLevelType w:val="hybridMultilevel"/>
    <w:tmpl w:val="03DEB468"/>
    <w:lvl w:ilvl="0" w:tplc="A52C0F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570BAE"/>
    <w:multiLevelType w:val="hybridMultilevel"/>
    <w:tmpl w:val="97B81640"/>
    <w:lvl w:ilvl="0" w:tplc="EBF6E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F02E9"/>
    <w:multiLevelType w:val="hybridMultilevel"/>
    <w:tmpl w:val="C2DAA5B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3163CB"/>
    <w:multiLevelType w:val="hybridMultilevel"/>
    <w:tmpl w:val="9A7AC04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503657"/>
    <w:multiLevelType w:val="hybridMultilevel"/>
    <w:tmpl w:val="CC042D74"/>
    <w:lvl w:ilvl="0" w:tplc="8086014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Univers" w:hAnsi="Univer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301518"/>
    <w:multiLevelType w:val="hybridMultilevel"/>
    <w:tmpl w:val="F61087E2"/>
    <w:lvl w:ilvl="0" w:tplc="0270F19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EAE75D1"/>
    <w:multiLevelType w:val="hybridMultilevel"/>
    <w:tmpl w:val="54A0E6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8F47AE"/>
    <w:multiLevelType w:val="hybridMultilevel"/>
    <w:tmpl w:val="67E8BF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664DFC"/>
    <w:multiLevelType w:val="hybridMultilevel"/>
    <w:tmpl w:val="E5720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052FF6"/>
    <w:multiLevelType w:val="hybridMultilevel"/>
    <w:tmpl w:val="11C05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BB7BFB"/>
    <w:multiLevelType w:val="hybridMultilevel"/>
    <w:tmpl w:val="2640B2BA"/>
    <w:lvl w:ilvl="0" w:tplc="5D969B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52D7B"/>
    <w:multiLevelType w:val="hybridMultilevel"/>
    <w:tmpl w:val="E112F46C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59D2275C"/>
    <w:multiLevelType w:val="hybridMultilevel"/>
    <w:tmpl w:val="59D48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73526C"/>
    <w:multiLevelType w:val="hybridMultilevel"/>
    <w:tmpl w:val="A50A0472"/>
    <w:lvl w:ilvl="0" w:tplc="70B68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A0DD7"/>
    <w:multiLevelType w:val="hybridMultilevel"/>
    <w:tmpl w:val="531858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2850F4"/>
    <w:multiLevelType w:val="hybridMultilevel"/>
    <w:tmpl w:val="F4527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392AD9"/>
    <w:multiLevelType w:val="hybridMultilevel"/>
    <w:tmpl w:val="DB784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1F66A85"/>
    <w:multiLevelType w:val="hybridMultilevel"/>
    <w:tmpl w:val="58BEDCA2"/>
    <w:lvl w:ilvl="0" w:tplc="A52C0F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0743EE"/>
    <w:multiLevelType w:val="hybridMultilevel"/>
    <w:tmpl w:val="AA6A1DA4"/>
    <w:lvl w:ilvl="0" w:tplc="A52C0F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543687"/>
    <w:multiLevelType w:val="hybridMultilevel"/>
    <w:tmpl w:val="468CBA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384385"/>
    <w:multiLevelType w:val="hybridMultilevel"/>
    <w:tmpl w:val="7C845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969B0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B1672BE"/>
    <w:multiLevelType w:val="hybridMultilevel"/>
    <w:tmpl w:val="48CA0012"/>
    <w:lvl w:ilvl="0" w:tplc="BACE1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52C0F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946274"/>
    <w:multiLevelType w:val="hybridMultilevel"/>
    <w:tmpl w:val="A3767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0D4239"/>
    <w:multiLevelType w:val="hybridMultilevel"/>
    <w:tmpl w:val="6FCA14AA"/>
    <w:lvl w:ilvl="0" w:tplc="04150011">
      <w:start w:val="1"/>
      <w:numFmt w:val="decimal"/>
      <w:lvlText w:val="%1)"/>
      <w:lvlJc w:val="left"/>
      <w:pPr>
        <w:ind w:left="447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5">
    <w:nsid w:val="712F5F60"/>
    <w:multiLevelType w:val="hybridMultilevel"/>
    <w:tmpl w:val="5C52426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74DE3B58"/>
    <w:multiLevelType w:val="hybridMultilevel"/>
    <w:tmpl w:val="BB926BDC"/>
    <w:lvl w:ilvl="0" w:tplc="C216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CAF21FD"/>
    <w:multiLevelType w:val="hybridMultilevel"/>
    <w:tmpl w:val="515463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EAB3C89"/>
    <w:multiLevelType w:val="hybridMultilevel"/>
    <w:tmpl w:val="977042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2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"/>
  </w:num>
  <w:num w:numId="12">
    <w:abstractNumId w:val="2"/>
  </w:num>
  <w:num w:numId="13">
    <w:abstractNumId w:val="2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0"/>
  </w:num>
  <w:num w:numId="21">
    <w:abstractNumId w:val="25"/>
  </w:num>
  <w:num w:numId="22">
    <w:abstractNumId w:val="17"/>
  </w:num>
  <w:num w:numId="23">
    <w:abstractNumId w:val="6"/>
  </w:num>
  <w:num w:numId="24">
    <w:abstractNumId w:val="9"/>
  </w:num>
  <w:num w:numId="25">
    <w:abstractNumId w:val="16"/>
  </w:num>
  <w:num w:numId="26">
    <w:abstractNumId w:val="0"/>
  </w:num>
  <w:num w:numId="27">
    <w:abstractNumId w:val="13"/>
  </w:num>
  <w:num w:numId="28">
    <w:abstractNumId w:val="21"/>
  </w:num>
  <w:num w:numId="29">
    <w:abstractNumId w:val="11"/>
  </w:num>
  <w:num w:numId="30">
    <w:abstractNumId w:val="28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25"/>
    <w:rsid w:val="00003852"/>
    <w:rsid w:val="0000402F"/>
    <w:rsid w:val="00007A80"/>
    <w:rsid w:val="00020B15"/>
    <w:rsid w:val="00020B4A"/>
    <w:rsid w:val="000260D3"/>
    <w:rsid w:val="000263FD"/>
    <w:rsid w:val="000334E9"/>
    <w:rsid w:val="000356EE"/>
    <w:rsid w:val="00035F05"/>
    <w:rsid w:val="00042C17"/>
    <w:rsid w:val="00042E86"/>
    <w:rsid w:val="00052839"/>
    <w:rsid w:val="00056B3F"/>
    <w:rsid w:val="00065339"/>
    <w:rsid w:val="0006667A"/>
    <w:rsid w:val="000703BC"/>
    <w:rsid w:val="000739B8"/>
    <w:rsid w:val="000755EA"/>
    <w:rsid w:val="00082169"/>
    <w:rsid w:val="00086BF8"/>
    <w:rsid w:val="0009773F"/>
    <w:rsid w:val="000A1F9B"/>
    <w:rsid w:val="000A6EC5"/>
    <w:rsid w:val="000A780E"/>
    <w:rsid w:val="000B0365"/>
    <w:rsid w:val="000B6875"/>
    <w:rsid w:val="000D5A14"/>
    <w:rsid w:val="000E002F"/>
    <w:rsid w:val="000E05CA"/>
    <w:rsid w:val="000F1A86"/>
    <w:rsid w:val="000F1D5C"/>
    <w:rsid w:val="000F2429"/>
    <w:rsid w:val="00102857"/>
    <w:rsid w:val="00112BDD"/>
    <w:rsid w:val="00114313"/>
    <w:rsid w:val="00127A7B"/>
    <w:rsid w:val="001528F8"/>
    <w:rsid w:val="00153316"/>
    <w:rsid w:val="001543FB"/>
    <w:rsid w:val="00163521"/>
    <w:rsid w:val="0016796A"/>
    <w:rsid w:val="001765AA"/>
    <w:rsid w:val="001905E2"/>
    <w:rsid w:val="001A33D1"/>
    <w:rsid w:val="001A3CE9"/>
    <w:rsid w:val="001B315A"/>
    <w:rsid w:val="001B34AE"/>
    <w:rsid w:val="001B43AA"/>
    <w:rsid w:val="001B721C"/>
    <w:rsid w:val="001C3731"/>
    <w:rsid w:val="001D1DBD"/>
    <w:rsid w:val="001D4764"/>
    <w:rsid w:val="001E0052"/>
    <w:rsid w:val="001E7266"/>
    <w:rsid w:val="001F439D"/>
    <w:rsid w:val="001F63C9"/>
    <w:rsid w:val="00206C1F"/>
    <w:rsid w:val="00215DC7"/>
    <w:rsid w:val="00244BBE"/>
    <w:rsid w:val="00244E91"/>
    <w:rsid w:val="00252275"/>
    <w:rsid w:val="0025308D"/>
    <w:rsid w:val="00253EAA"/>
    <w:rsid w:val="002609BB"/>
    <w:rsid w:val="00260EDB"/>
    <w:rsid w:val="00261902"/>
    <w:rsid w:val="00263BCE"/>
    <w:rsid w:val="00263F7E"/>
    <w:rsid w:val="0027091F"/>
    <w:rsid w:val="00277E71"/>
    <w:rsid w:val="002816BB"/>
    <w:rsid w:val="0029003C"/>
    <w:rsid w:val="002A08E4"/>
    <w:rsid w:val="002C44EB"/>
    <w:rsid w:val="002C58C5"/>
    <w:rsid w:val="002D2FB8"/>
    <w:rsid w:val="002D5BC2"/>
    <w:rsid w:val="002E7F83"/>
    <w:rsid w:val="002F2A41"/>
    <w:rsid w:val="00323A1E"/>
    <w:rsid w:val="003342E7"/>
    <w:rsid w:val="003372C6"/>
    <w:rsid w:val="0033793E"/>
    <w:rsid w:val="00342990"/>
    <w:rsid w:val="003528D9"/>
    <w:rsid w:val="00371644"/>
    <w:rsid w:val="00375729"/>
    <w:rsid w:val="00386AEC"/>
    <w:rsid w:val="003A0282"/>
    <w:rsid w:val="003A21FB"/>
    <w:rsid w:val="003A5E75"/>
    <w:rsid w:val="003A699C"/>
    <w:rsid w:val="003A7090"/>
    <w:rsid w:val="003B3959"/>
    <w:rsid w:val="003C334A"/>
    <w:rsid w:val="003C61E5"/>
    <w:rsid w:val="003D5B30"/>
    <w:rsid w:val="003D6DAC"/>
    <w:rsid w:val="003E5109"/>
    <w:rsid w:val="003E73B7"/>
    <w:rsid w:val="003F12CF"/>
    <w:rsid w:val="003F27BF"/>
    <w:rsid w:val="003F3AFF"/>
    <w:rsid w:val="003F4D54"/>
    <w:rsid w:val="003F6580"/>
    <w:rsid w:val="00401775"/>
    <w:rsid w:val="00407A33"/>
    <w:rsid w:val="00417E51"/>
    <w:rsid w:val="00445480"/>
    <w:rsid w:val="00452FD2"/>
    <w:rsid w:val="004549F9"/>
    <w:rsid w:val="00456B8A"/>
    <w:rsid w:val="004600A6"/>
    <w:rsid w:val="00470CD8"/>
    <w:rsid w:val="00472E10"/>
    <w:rsid w:val="00473C5D"/>
    <w:rsid w:val="00474AAF"/>
    <w:rsid w:val="0048016B"/>
    <w:rsid w:val="00480317"/>
    <w:rsid w:val="004822E0"/>
    <w:rsid w:val="004A4187"/>
    <w:rsid w:val="004A761A"/>
    <w:rsid w:val="004B65CA"/>
    <w:rsid w:val="004B728B"/>
    <w:rsid w:val="004C2591"/>
    <w:rsid w:val="004D0E13"/>
    <w:rsid w:val="004D2426"/>
    <w:rsid w:val="004D666F"/>
    <w:rsid w:val="004D7CBF"/>
    <w:rsid w:val="004D7E56"/>
    <w:rsid w:val="004E100C"/>
    <w:rsid w:val="004E242E"/>
    <w:rsid w:val="00502E45"/>
    <w:rsid w:val="005058FA"/>
    <w:rsid w:val="00505DE1"/>
    <w:rsid w:val="00513AEE"/>
    <w:rsid w:val="00513E93"/>
    <w:rsid w:val="00523A4F"/>
    <w:rsid w:val="00530C5F"/>
    <w:rsid w:val="005340CD"/>
    <w:rsid w:val="00543726"/>
    <w:rsid w:val="005449A1"/>
    <w:rsid w:val="00560827"/>
    <w:rsid w:val="0056268A"/>
    <w:rsid w:val="0056500E"/>
    <w:rsid w:val="005666FF"/>
    <w:rsid w:val="00571A5D"/>
    <w:rsid w:val="005818EB"/>
    <w:rsid w:val="0058387E"/>
    <w:rsid w:val="005851F0"/>
    <w:rsid w:val="00587D08"/>
    <w:rsid w:val="005930E8"/>
    <w:rsid w:val="005A646C"/>
    <w:rsid w:val="005C22F4"/>
    <w:rsid w:val="005D02A7"/>
    <w:rsid w:val="005D1B68"/>
    <w:rsid w:val="005D2490"/>
    <w:rsid w:val="005E234A"/>
    <w:rsid w:val="005E7C2C"/>
    <w:rsid w:val="005F0DCB"/>
    <w:rsid w:val="00600B98"/>
    <w:rsid w:val="0060622A"/>
    <w:rsid w:val="006069FA"/>
    <w:rsid w:val="00617A41"/>
    <w:rsid w:val="00617A54"/>
    <w:rsid w:val="006301B4"/>
    <w:rsid w:val="00631CCD"/>
    <w:rsid w:val="00637EA4"/>
    <w:rsid w:val="00637F85"/>
    <w:rsid w:val="00641259"/>
    <w:rsid w:val="00642CAB"/>
    <w:rsid w:val="006454E7"/>
    <w:rsid w:val="00656E9A"/>
    <w:rsid w:val="006645E0"/>
    <w:rsid w:val="006660F1"/>
    <w:rsid w:val="00673D49"/>
    <w:rsid w:val="006746BD"/>
    <w:rsid w:val="00680CDC"/>
    <w:rsid w:val="00687A91"/>
    <w:rsid w:val="00692806"/>
    <w:rsid w:val="0069646D"/>
    <w:rsid w:val="006B0AF8"/>
    <w:rsid w:val="006E4BFB"/>
    <w:rsid w:val="007002FE"/>
    <w:rsid w:val="0070175E"/>
    <w:rsid w:val="0070398E"/>
    <w:rsid w:val="007406DA"/>
    <w:rsid w:val="00741BE2"/>
    <w:rsid w:val="00745F6A"/>
    <w:rsid w:val="007504F2"/>
    <w:rsid w:val="007519A5"/>
    <w:rsid w:val="00755FF1"/>
    <w:rsid w:val="00762E70"/>
    <w:rsid w:val="00771BC4"/>
    <w:rsid w:val="00780D16"/>
    <w:rsid w:val="00791790"/>
    <w:rsid w:val="00793D77"/>
    <w:rsid w:val="007C4DA6"/>
    <w:rsid w:val="007D0A15"/>
    <w:rsid w:val="00803C8C"/>
    <w:rsid w:val="008167F8"/>
    <w:rsid w:val="00817A17"/>
    <w:rsid w:val="00817C58"/>
    <w:rsid w:val="00822802"/>
    <w:rsid w:val="0083127D"/>
    <w:rsid w:val="00831544"/>
    <w:rsid w:val="008417F8"/>
    <w:rsid w:val="0084598D"/>
    <w:rsid w:val="008479EC"/>
    <w:rsid w:val="00854ACB"/>
    <w:rsid w:val="00861D86"/>
    <w:rsid w:val="008626E0"/>
    <w:rsid w:val="008629CF"/>
    <w:rsid w:val="00874246"/>
    <w:rsid w:val="00885E56"/>
    <w:rsid w:val="008A3B6B"/>
    <w:rsid w:val="008B3484"/>
    <w:rsid w:val="008B6912"/>
    <w:rsid w:val="008B7F7C"/>
    <w:rsid w:val="008C5C3B"/>
    <w:rsid w:val="008D22F7"/>
    <w:rsid w:val="008E2449"/>
    <w:rsid w:val="008F0A18"/>
    <w:rsid w:val="008F31FD"/>
    <w:rsid w:val="00903927"/>
    <w:rsid w:val="00911C23"/>
    <w:rsid w:val="00921242"/>
    <w:rsid w:val="00926EC0"/>
    <w:rsid w:val="00932A0A"/>
    <w:rsid w:val="0093744F"/>
    <w:rsid w:val="0094790D"/>
    <w:rsid w:val="00950152"/>
    <w:rsid w:val="00967B6D"/>
    <w:rsid w:val="00970098"/>
    <w:rsid w:val="009724FC"/>
    <w:rsid w:val="00973084"/>
    <w:rsid w:val="00977E94"/>
    <w:rsid w:val="00983347"/>
    <w:rsid w:val="00987927"/>
    <w:rsid w:val="0099391C"/>
    <w:rsid w:val="009964FF"/>
    <w:rsid w:val="00997A57"/>
    <w:rsid w:val="009A3C9F"/>
    <w:rsid w:val="009A44D8"/>
    <w:rsid w:val="009A7028"/>
    <w:rsid w:val="009B6762"/>
    <w:rsid w:val="009C60D2"/>
    <w:rsid w:val="009D5941"/>
    <w:rsid w:val="009E27D3"/>
    <w:rsid w:val="00A00225"/>
    <w:rsid w:val="00A13680"/>
    <w:rsid w:val="00A14118"/>
    <w:rsid w:val="00A161B1"/>
    <w:rsid w:val="00A20449"/>
    <w:rsid w:val="00A23470"/>
    <w:rsid w:val="00A2436A"/>
    <w:rsid w:val="00A2686D"/>
    <w:rsid w:val="00A2733B"/>
    <w:rsid w:val="00A27CB9"/>
    <w:rsid w:val="00A27DFD"/>
    <w:rsid w:val="00A343A3"/>
    <w:rsid w:val="00A43C5B"/>
    <w:rsid w:val="00A46920"/>
    <w:rsid w:val="00A52D47"/>
    <w:rsid w:val="00A63B4C"/>
    <w:rsid w:val="00A654EE"/>
    <w:rsid w:val="00A657C2"/>
    <w:rsid w:val="00A92C98"/>
    <w:rsid w:val="00AB781E"/>
    <w:rsid w:val="00AC0767"/>
    <w:rsid w:val="00AC2469"/>
    <w:rsid w:val="00AC4CD1"/>
    <w:rsid w:val="00AD2223"/>
    <w:rsid w:val="00AD245A"/>
    <w:rsid w:val="00AE07F6"/>
    <w:rsid w:val="00AE574B"/>
    <w:rsid w:val="00AE6420"/>
    <w:rsid w:val="00AF4BFB"/>
    <w:rsid w:val="00B12332"/>
    <w:rsid w:val="00B15B36"/>
    <w:rsid w:val="00B17AA2"/>
    <w:rsid w:val="00B20CB0"/>
    <w:rsid w:val="00B22187"/>
    <w:rsid w:val="00B2565A"/>
    <w:rsid w:val="00B3258E"/>
    <w:rsid w:val="00B34D22"/>
    <w:rsid w:val="00B35724"/>
    <w:rsid w:val="00B50925"/>
    <w:rsid w:val="00B52BEA"/>
    <w:rsid w:val="00B536BC"/>
    <w:rsid w:val="00B53A5E"/>
    <w:rsid w:val="00B55D5B"/>
    <w:rsid w:val="00B55E1C"/>
    <w:rsid w:val="00B66D54"/>
    <w:rsid w:val="00B71984"/>
    <w:rsid w:val="00B71A42"/>
    <w:rsid w:val="00B80D33"/>
    <w:rsid w:val="00B81015"/>
    <w:rsid w:val="00B81514"/>
    <w:rsid w:val="00B82D5F"/>
    <w:rsid w:val="00BA3922"/>
    <w:rsid w:val="00BB5FC0"/>
    <w:rsid w:val="00BB7FAF"/>
    <w:rsid w:val="00BC6A9B"/>
    <w:rsid w:val="00BC7411"/>
    <w:rsid w:val="00BD58DE"/>
    <w:rsid w:val="00BF0576"/>
    <w:rsid w:val="00C0379C"/>
    <w:rsid w:val="00C0398A"/>
    <w:rsid w:val="00C03A22"/>
    <w:rsid w:val="00C03A70"/>
    <w:rsid w:val="00C177E7"/>
    <w:rsid w:val="00C3061D"/>
    <w:rsid w:val="00C31AE6"/>
    <w:rsid w:val="00C31FEB"/>
    <w:rsid w:val="00C65289"/>
    <w:rsid w:val="00C70FDA"/>
    <w:rsid w:val="00C764B2"/>
    <w:rsid w:val="00C941C1"/>
    <w:rsid w:val="00C97826"/>
    <w:rsid w:val="00CA6C88"/>
    <w:rsid w:val="00CB07C8"/>
    <w:rsid w:val="00CC1C1D"/>
    <w:rsid w:val="00CD745C"/>
    <w:rsid w:val="00CE332D"/>
    <w:rsid w:val="00CE34C9"/>
    <w:rsid w:val="00CE3ECE"/>
    <w:rsid w:val="00CE47C8"/>
    <w:rsid w:val="00CF2427"/>
    <w:rsid w:val="00CF3BB7"/>
    <w:rsid w:val="00D17268"/>
    <w:rsid w:val="00D3134A"/>
    <w:rsid w:val="00D3753D"/>
    <w:rsid w:val="00D41084"/>
    <w:rsid w:val="00D413C9"/>
    <w:rsid w:val="00D50A03"/>
    <w:rsid w:val="00D537FD"/>
    <w:rsid w:val="00D6316E"/>
    <w:rsid w:val="00D66AD3"/>
    <w:rsid w:val="00D72B4D"/>
    <w:rsid w:val="00D771AE"/>
    <w:rsid w:val="00D820A8"/>
    <w:rsid w:val="00D82847"/>
    <w:rsid w:val="00D84C6F"/>
    <w:rsid w:val="00D864AE"/>
    <w:rsid w:val="00D94739"/>
    <w:rsid w:val="00D97C94"/>
    <w:rsid w:val="00DA12BD"/>
    <w:rsid w:val="00DA5740"/>
    <w:rsid w:val="00DA7B5A"/>
    <w:rsid w:val="00DC6887"/>
    <w:rsid w:val="00DD718D"/>
    <w:rsid w:val="00DE004F"/>
    <w:rsid w:val="00E1410D"/>
    <w:rsid w:val="00E17F73"/>
    <w:rsid w:val="00E26208"/>
    <w:rsid w:val="00E275F3"/>
    <w:rsid w:val="00E31253"/>
    <w:rsid w:val="00E3337D"/>
    <w:rsid w:val="00E34E7E"/>
    <w:rsid w:val="00E350CB"/>
    <w:rsid w:val="00E35782"/>
    <w:rsid w:val="00E46C0F"/>
    <w:rsid w:val="00E521AF"/>
    <w:rsid w:val="00E53220"/>
    <w:rsid w:val="00E54ABD"/>
    <w:rsid w:val="00E5709A"/>
    <w:rsid w:val="00E60C10"/>
    <w:rsid w:val="00E6448A"/>
    <w:rsid w:val="00E71E45"/>
    <w:rsid w:val="00E72324"/>
    <w:rsid w:val="00E7516F"/>
    <w:rsid w:val="00E84AB7"/>
    <w:rsid w:val="00E862CF"/>
    <w:rsid w:val="00E95756"/>
    <w:rsid w:val="00E971D6"/>
    <w:rsid w:val="00EA056C"/>
    <w:rsid w:val="00EA13DE"/>
    <w:rsid w:val="00EA3850"/>
    <w:rsid w:val="00EA46EC"/>
    <w:rsid w:val="00EB374D"/>
    <w:rsid w:val="00EC03AC"/>
    <w:rsid w:val="00EC07CA"/>
    <w:rsid w:val="00EC136B"/>
    <w:rsid w:val="00EC7F8B"/>
    <w:rsid w:val="00ED3DC2"/>
    <w:rsid w:val="00ED5280"/>
    <w:rsid w:val="00ED6425"/>
    <w:rsid w:val="00ED6A77"/>
    <w:rsid w:val="00EE4245"/>
    <w:rsid w:val="00EE556C"/>
    <w:rsid w:val="00EE5811"/>
    <w:rsid w:val="00EE76B3"/>
    <w:rsid w:val="00EE7B3B"/>
    <w:rsid w:val="00F11894"/>
    <w:rsid w:val="00F12EBA"/>
    <w:rsid w:val="00F1377C"/>
    <w:rsid w:val="00F258A1"/>
    <w:rsid w:val="00F33B67"/>
    <w:rsid w:val="00F3550E"/>
    <w:rsid w:val="00F37A2F"/>
    <w:rsid w:val="00F41153"/>
    <w:rsid w:val="00F516F6"/>
    <w:rsid w:val="00F52247"/>
    <w:rsid w:val="00F52EFA"/>
    <w:rsid w:val="00F622F9"/>
    <w:rsid w:val="00F66CEC"/>
    <w:rsid w:val="00F72446"/>
    <w:rsid w:val="00F740BF"/>
    <w:rsid w:val="00F84D85"/>
    <w:rsid w:val="00F85063"/>
    <w:rsid w:val="00F94626"/>
    <w:rsid w:val="00FA2470"/>
    <w:rsid w:val="00FB442A"/>
    <w:rsid w:val="00FB7B41"/>
    <w:rsid w:val="00FC3218"/>
    <w:rsid w:val="00FD2B79"/>
    <w:rsid w:val="00FE091A"/>
    <w:rsid w:val="00FE0E7A"/>
    <w:rsid w:val="00FE7CC8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4B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B728B"/>
    <w:pPr>
      <w:spacing w:before="100" w:beforeAutospacing="1" w:after="100" w:afterAutospacing="1"/>
    </w:pPr>
  </w:style>
  <w:style w:type="paragraph" w:customStyle="1" w:styleId="DomylnaczcionkaakapituAkapitZnakZnakZnakZnak">
    <w:name w:val="Domyślna czcionka akapitu Akapit Znak Znak Znak Znak"/>
    <w:basedOn w:val="Normalny"/>
    <w:uiPriority w:val="99"/>
    <w:rsid w:val="004B728B"/>
  </w:style>
  <w:style w:type="paragraph" w:styleId="Stopka">
    <w:name w:val="footer"/>
    <w:basedOn w:val="Normalny"/>
    <w:link w:val="StopkaZnak"/>
    <w:uiPriority w:val="99"/>
    <w:rsid w:val="00E141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3E64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E1410D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C03A70"/>
    <w:rPr>
      <w:rFonts w:cs="Times New Roman"/>
      <w:i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666F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C4DA6"/>
  </w:style>
  <w:style w:type="character" w:styleId="Odwoanieprzypisudolnego">
    <w:name w:val="footnote reference"/>
    <w:basedOn w:val="Domylnaczcionkaakapitu"/>
    <w:uiPriority w:val="99"/>
    <w:semiHidden/>
    <w:rsid w:val="005666FF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5666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7C4DA6"/>
    <w:pPr>
      <w:spacing w:before="60" w:after="60"/>
      <w:ind w:left="720"/>
      <w:contextualSpacing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4B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B728B"/>
    <w:pPr>
      <w:spacing w:before="100" w:beforeAutospacing="1" w:after="100" w:afterAutospacing="1"/>
    </w:pPr>
  </w:style>
  <w:style w:type="paragraph" w:customStyle="1" w:styleId="DomylnaczcionkaakapituAkapitZnakZnakZnakZnak">
    <w:name w:val="Domyślna czcionka akapitu Akapit Znak Znak Znak Znak"/>
    <w:basedOn w:val="Normalny"/>
    <w:uiPriority w:val="99"/>
    <w:rsid w:val="004B728B"/>
  </w:style>
  <w:style w:type="paragraph" w:styleId="Stopka">
    <w:name w:val="footer"/>
    <w:basedOn w:val="Normalny"/>
    <w:link w:val="StopkaZnak"/>
    <w:uiPriority w:val="99"/>
    <w:rsid w:val="00E141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3E64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E1410D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C03A70"/>
    <w:rPr>
      <w:rFonts w:cs="Times New Roman"/>
      <w:i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666F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C4DA6"/>
  </w:style>
  <w:style w:type="character" w:styleId="Odwoanieprzypisudolnego">
    <w:name w:val="footnote reference"/>
    <w:basedOn w:val="Domylnaczcionkaakapitu"/>
    <w:uiPriority w:val="99"/>
    <w:semiHidden/>
    <w:rsid w:val="005666FF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5666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7C4DA6"/>
    <w:pPr>
      <w:spacing w:before="60" w:after="60"/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95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782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95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95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1598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Horyza</dc:creator>
  <cp:lastModifiedBy>Szalczyk Zofia</cp:lastModifiedBy>
  <cp:revision>9</cp:revision>
  <cp:lastPrinted>2014-01-16T14:56:00Z</cp:lastPrinted>
  <dcterms:created xsi:type="dcterms:W3CDTF">2014-01-16T14:19:00Z</dcterms:created>
  <dcterms:modified xsi:type="dcterms:W3CDTF">2014-01-16T15:50:00Z</dcterms:modified>
</cp:coreProperties>
</file>